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64" w:rsidRPr="0006508F" w:rsidRDefault="0006508F" w:rsidP="0006508F">
      <w:pPr>
        <w:pStyle w:val="ListParagraph"/>
        <w:spacing w:after="0" w:line="360" w:lineRule="auto"/>
        <w:ind w:left="0"/>
        <w:contextualSpacing w:val="0"/>
        <w:rPr>
          <w:rFonts w:ascii="Lato" w:hAnsi="Lato" w:cs="Times New Roman"/>
          <w:b/>
          <w:sz w:val="28"/>
          <w:szCs w:val="24"/>
        </w:rPr>
      </w:pPr>
      <w:r w:rsidRPr="0006508F">
        <w:rPr>
          <w:rFonts w:ascii="Lato" w:hAnsi="Lato" w:cs="Times New Roman"/>
          <w:b/>
          <w:sz w:val="24"/>
          <w:szCs w:val="24"/>
        </w:rPr>
        <w:t xml:space="preserve">                                                                    </w:t>
      </w:r>
      <w:r w:rsidR="00295764" w:rsidRPr="0006508F">
        <w:rPr>
          <w:rFonts w:ascii="Lato" w:hAnsi="Lato" w:cs="Times New Roman"/>
          <w:b/>
          <w:sz w:val="28"/>
          <w:szCs w:val="24"/>
        </w:rPr>
        <w:t>POLICY BRIEF</w:t>
      </w:r>
    </w:p>
    <w:p w:rsidR="00B97259" w:rsidRPr="0006508F" w:rsidRDefault="00B97259" w:rsidP="000E2ECE">
      <w:pPr>
        <w:pStyle w:val="ListParagraph"/>
        <w:spacing w:after="0" w:line="360" w:lineRule="auto"/>
        <w:ind w:left="0"/>
        <w:contextualSpacing w:val="0"/>
        <w:jc w:val="center"/>
        <w:rPr>
          <w:rFonts w:ascii="Lato" w:hAnsi="Lato" w:cs="Times New Roman"/>
          <w:b/>
          <w:sz w:val="28"/>
          <w:szCs w:val="24"/>
        </w:rPr>
      </w:pPr>
    </w:p>
    <w:p w:rsidR="00295764" w:rsidRPr="0006508F" w:rsidRDefault="00C33412" w:rsidP="000E2ECE">
      <w:pPr>
        <w:pStyle w:val="ListParagraph"/>
        <w:spacing w:after="0" w:line="360" w:lineRule="auto"/>
        <w:ind w:left="0"/>
        <w:contextualSpacing w:val="0"/>
        <w:jc w:val="center"/>
        <w:rPr>
          <w:rFonts w:ascii="Lato" w:hAnsi="Lato" w:cs="Times New Roman"/>
          <w:b/>
          <w:sz w:val="28"/>
          <w:szCs w:val="24"/>
        </w:rPr>
      </w:pPr>
      <w:r w:rsidRPr="0006508F">
        <w:rPr>
          <w:rFonts w:ascii="Lato" w:hAnsi="Lato" w:cs="Times New Roman"/>
          <w:b/>
          <w:sz w:val="28"/>
          <w:szCs w:val="24"/>
        </w:rPr>
        <w:t>RESERVATION</w:t>
      </w:r>
      <w:r w:rsidR="00295764" w:rsidRPr="0006508F">
        <w:rPr>
          <w:rFonts w:ascii="Lato" w:hAnsi="Lato" w:cs="Times New Roman"/>
          <w:b/>
          <w:sz w:val="28"/>
          <w:szCs w:val="24"/>
        </w:rPr>
        <w:t xml:space="preserve"> FOR TRANSGENDER PERSONS IN INDIA</w:t>
      </w:r>
    </w:p>
    <w:p w:rsidR="00295764" w:rsidRPr="0006508F" w:rsidRDefault="005A6730" w:rsidP="000E2ECE">
      <w:pPr>
        <w:spacing w:after="0" w:line="360" w:lineRule="auto"/>
        <w:rPr>
          <w:rFonts w:ascii="Lato" w:hAnsi="Lato" w:cs="Times New Roman"/>
          <w:b/>
          <w:smallCaps/>
          <w:sz w:val="24"/>
          <w:szCs w:val="24"/>
        </w:rPr>
      </w:pPr>
      <w:r w:rsidRPr="0006508F">
        <w:rPr>
          <w:rFonts w:ascii="Lato" w:hAnsi="Lato" w:cs="Times New Roman"/>
          <w:b/>
          <w:smallCaps/>
          <w:sz w:val="24"/>
          <w:szCs w:val="24"/>
        </w:rPr>
        <w:t xml:space="preserve"> </w:t>
      </w:r>
    </w:p>
    <w:p w:rsidR="00017DF2" w:rsidRPr="0006508F" w:rsidRDefault="005A08E4" w:rsidP="005A08E4">
      <w:pPr>
        <w:spacing w:after="0" w:line="360" w:lineRule="auto"/>
        <w:jc w:val="center"/>
        <w:rPr>
          <w:rFonts w:ascii="Lato" w:hAnsi="Lato" w:cs="Times New Roman"/>
          <w:b/>
          <w:smallCaps/>
          <w:sz w:val="24"/>
          <w:szCs w:val="24"/>
        </w:rPr>
      </w:pPr>
      <w:r w:rsidRPr="0006508F">
        <w:rPr>
          <w:rFonts w:ascii="Lato" w:hAnsi="Lato" w:cs="Times New Roman"/>
          <w:b/>
          <w:smallCaps/>
          <w:sz w:val="24"/>
          <w:szCs w:val="24"/>
        </w:rPr>
        <w:t>TABLE OF CONTENTS</w:t>
      </w:r>
    </w:p>
    <w:p w:rsidR="008A7220" w:rsidRPr="0006508F" w:rsidRDefault="008A7220" w:rsidP="005A08E4">
      <w:pPr>
        <w:spacing w:after="0" w:line="360" w:lineRule="auto"/>
        <w:jc w:val="center"/>
        <w:rPr>
          <w:rFonts w:ascii="Lato" w:hAnsi="Lato" w:cs="Times New Roman"/>
          <w:b/>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54"/>
      </w:tblGrid>
      <w:tr w:rsidR="005A08E4" w:rsidRPr="0006508F" w:rsidTr="008A7220">
        <w:tc>
          <w:tcPr>
            <w:tcW w:w="8188" w:type="dxa"/>
          </w:tcPr>
          <w:p w:rsidR="005A08E4" w:rsidRPr="0006508F" w:rsidRDefault="005A08E4" w:rsidP="008A7220">
            <w:pPr>
              <w:pStyle w:val="ListParagraph"/>
              <w:numPr>
                <w:ilvl w:val="0"/>
                <w:numId w:val="19"/>
              </w:numPr>
              <w:spacing w:after="0" w:line="360" w:lineRule="auto"/>
              <w:ind w:left="426" w:hanging="371"/>
              <w:rPr>
                <w:rFonts w:ascii="Lato" w:hAnsi="Lato" w:cs="Times New Roman"/>
                <w:sz w:val="24"/>
                <w:szCs w:val="24"/>
              </w:rPr>
            </w:pPr>
            <w:r w:rsidRPr="0006508F">
              <w:rPr>
                <w:rFonts w:ascii="Lato" w:hAnsi="Lato" w:cs="Times New Roman"/>
                <w:sz w:val="24"/>
                <w:szCs w:val="24"/>
              </w:rPr>
              <w:t>Introduction</w:t>
            </w:r>
          </w:p>
        </w:tc>
        <w:tc>
          <w:tcPr>
            <w:tcW w:w="1054" w:type="dxa"/>
          </w:tcPr>
          <w:p w:rsidR="005A08E4" w:rsidRPr="0006508F" w:rsidRDefault="008A7220" w:rsidP="000E2ECE">
            <w:pPr>
              <w:spacing w:after="0" w:line="360" w:lineRule="auto"/>
              <w:rPr>
                <w:rFonts w:ascii="Lato" w:hAnsi="Lato" w:cs="Times New Roman"/>
                <w:smallCaps/>
                <w:sz w:val="24"/>
                <w:szCs w:val="24"/>
              </w:rPr>
            </w:pPr>
            <w:r w:rsidRPr="0006508F">
              <w:rPr>
                <w:rFonts w:ascii="Lato" w:hAnsi="Lato" w:cs="Times New Roman"/>
                <w:smallCaps/>
                <w:sz w:val="24"/>
                <w:szCs w:val="24"/>
              </w:rPr>
              <w:t>2</w:t>
            </w:r>
          </w:p>
        </w:tc>
      </w:tr>
      <w:tr w:rsidR="005A08E4" w:rsidRPr="0006508F" w:rsidTr="008A7220">
        <w:tc>
          <w:tcPr>
            <w:tcW w:w="8188" w:type="dxa"/>
          </w:tcPr>
          <w:p w:rsidR="005A08E4" w:rsidRPr="0006508F" w:rsidRDefault="005A08E4" w:rsidP="008A7220">
            <w:pPr>
              <w:pStyle w:val="ListParagraph"/>
              <w:numPr>
                <w:ilvl w:val="0"/>
                <w:numId w:val="19"/>
              </w:numPr>
              <w:spacing w:after="0" w:line="360" w:lineRule="auto"/>
              <w:ind w:left="426" w:hanging="426"/>
              <w:rPr>
                <w:rFonts w:ascii="Lato" w:hAnsi="Lato" w:cs="Times New Roman"/>
                <w:sz w:val="24"/>
                <w:szCs w:val="24"/>
              </w:rPr>
            </w:pPr>
            <w:r w:rsidRPr="0006508F">
              <w:rPr>
                <w:rFonts w:ascii="Lato" w:hAnsi="Lato" w:cs="Times New Roman"/>
                <w:sz w:val="24"/>
                <w:szCs w:val="24"/>
              </w:rPr>
              <w:t>Who are the Beneficiaries?</w:t>
            </w:r>
          </w:p>
        </w:tc>
        <w:tc>
          <w:tcPr>
            <w:tcW w:w="1054" w:type="dxa"/>
          </w:tcPr>
          <w:p w:rsidR="005A08E4" w:rsidRPr="0006508F" w:rsidRDefault="008A7220" w:rsidP="000E2ECE">
            <w:pPr>
              <w:spacing w:after="0" w:line="360" w:lineRule="auto"/>
              <w:rPr>
                <w:rFonts w:ascii="Lato" w:hAnsi="Lato" w:cs="Times New Roman"/>
                <w:sz w:val="24"/>
                <w:szCs w:val="24"/>
              </w:rPr>
            </w:pPr>
            <w:r w:rsidRPr="0006508F">
              <w:rPr>
                <w:rFonts w:ascii="Lato" w:hAnsi="Lato" w:cs="Times New Roman"/>
                <w:sz w:val="24"/>
                <w:szCs w:val="24"/>
              </w:rPr>
              <w:t>4</w:t>
            </w:r>
          </w:p>
        </w:tc>
      </w:tr>
      <w:tr w:rsidR="005A08E4" w:rsidRPr="0006508F" w:rsidTr="008A7220">
        <w:tc>
          <w:tcPr>
            <w:tcW w:w="8188" w:type="dxa"/>
          </w:tcPr>
          <w:p w:rsidR="005A08E4" w:rsidRPr="0006508F" w:rsidRDefault="005A08E4" w:rsidP="008A7220">
            <w:pPr>
              <w:pStyle w:val="ListParagraph"/>
              <w:numPr>
                <w:ilvl w:val="0"/>
                <w:numId w:val="19"/>
              </w:numPr>
              <w:spacing w:after="0" w:line="360" w:lineRule="auto"/>
              <w:ind w:left="426" w:hanging="426"/>
              <w:rPr>
                <w:rFonts w:ascii="Lato" w:hAnsi="Lato" w:cs="Times New Roman"/>
                <w:smallCaps/>
                <w:sz w:val="24"/>
                <w:szCs w:val="24"/>
              </w:rPr>
            </w:pPr>
            <w:r w:rsidRPr="0006508F">
              <w:rPr>
                <w:rFonts w:ascii="Lato" w:hAnsi="Lato" w:cs="Times New Roman"/>
                <w:sz w:val="24"/>
                <w:szCs w:val="24"/>
              </w:rPr>
              <w:t xml:space="preserve">Legal basis for Reservations for Transgender Persons: How should it be </w:t>
            </w:r>
            <w:proofErr w:type="gramStart"/>
            <w:r w:rsidRPr="0006508F">
              <w:rPr>
                <w:rFonts w:ascii="Lato" w:hAnsi="Lato" w:cs="Times New Roman"/>
                <w:sz w:val="24"/>
                <w:szCs w:val="24"/>
              </w:rPr>
              <w:t>Implemented</w:t>
            </w:r>
            <w:proofErr w:type="gramEnd"/>
            <w:r w:rsidRPr="0006508F">
              <w:rPr>
                <w:rFonts w:ascii="Lato" w:hAnsi="Lato" w:cs="Times New Roman"/>
                <w:sz w:val="24"/>
                <w:szCs w:val="24"/>
              </w:rPr>
              <w:t>?</w:t>
            </w:r>
          </w:p>
        </w:tc>
        <w:tc>
          <w:tcPr>
            <w:tcW w:w="1054" w:type="dxa"/>
          </w:tcPr>
          <w:p w:rsidR="005A08E4" w:rsidRPr="0006508F" w:rsidRDefault="008A7220" w:rsidP="000E2ECE">
            <w:pPr>
              <w:spacing w:after="0" w:line="360" w:lineRule="auto"/>
              <w:rPr>
                <w:rFonts w:ascii="Lato" w:hAnsi="Lato" w:cs="Times New Roman"/>
                <w:sz w:val="24"/>
                <w:szCs w:val="24"/>
              </w:rPr>
            </w:pPr>
            <w:r w:rsidRPr="0006508F">
              <w:rPr>
                <w:rFonts w:ascii="Lato" w:hAnsi="Lato" w:cs="Times New Roman"/>
                <w:sz w:val="24"/>
                <w:szCs w:val="24"/>
              </w:rPr>
              <w:t>6</w:t>
            </w:r>
          </w:p>
        </w:tc>
      </w:tr>
      <w:tr w:rsidR="005A08E4" w:rsidRPr="0006508F" w:rsidTr="008A7220">
        <w:tc>
          <w:tcPr>
            <w:tcW w:w="8188" w:type="dxa"/>
          </w:tcPr>
          <w:p w:rsidR="005A08E4" w:rsidRPr="0006508F" w:rsidRDefault="005A08E4" w:rsidP="008A7220">
            <w:pPr>
              <w:pStyle w:val="ListParagraph"/>
              <w:numPr>
                <w:ilvl w:val="0"/>
                <w:numId w:val="19"/>
              </w:numPr>
              <w:spacing w:after="0" w:line="360" w:lineRule="auto"/>
              <w:ind w:left="426" w:hanging="426"/>
              <w:rPr>
                <w:rFonts w:ascii="Lato" w:hAnsi="Lato" w:cs="Times New Roman"/>
                <w:sz w:val="24"/>
                <w:szCs w:val="24"/>
              </w:rPr>
            </w:pPr>
            <w:r w:rsidRPr="0006508F">
              <w:rPr>
                <w:rFonts w:ascii="Lato" w:hAnsi="Lato" w:cs="Times New Roman"/>
                <w:sz w:val="24"/>
                <w:szCs w:val="24"/>
              </w:rPr>
              <w:t>Form of Reservations: A case for Horizontal Reservations for Transgender Persons</w:t>
            </w:r>
          </w:p>
        </w:tc>
        <w:tc>
          <w:tcPr>
            <w:tcW w:w="1054" w:type="dxa"/>
          </w:tcPr>
          <w:p w:rsidR="005A08E4" w:rsidRPr="0006508F" w:rsidRDefault="008A7220" w:rsidP="000E2ECE">
            <w:pPr>
              <w:spacing w:after="0" w:line="360" w:lineRule="auto"/>
              <w:rPr>
                <w:rFonts w:ascii="Lato" w:hAnsi="Lato" w:cs="Times New Roman"/>
                <w:sz w:val="24"/>
                <w:szCs w:val="24"/>
              </w:rPr>
            </w:pPr>
            <w:r w:rsidRPr="0006508F">
              <w:rPr>
                <w:rFonts w:ascii="Lato" w:hAnsi="Lato" w:cs="Times New Roman"/>
                <w:sz w:val="24"/>
                <w:szCs w:val="24"/>
              </w:rPr>
              <w:t>8</w:t>
            </w:r>
          </w:p>
        </w:tc>
      </w:tr>
      <w:tr w:rsidR="005A08E4" w:rsidRPr="0006508F" w:rsidTr="008A7220">
        <w:tc>
          <w:tcPr>
            <w:tcW w:w="8188" w:type="dxa"/>
          </w:tcPr>
          <w:p w:rsidR="005A08E4" w:rsidRPr="0006508F" w:rsidRDefault="005A08E4" w:rsidP="005A08E4">
            <w:pPr>
              <w:pStyle w:val="ListParagraph"/>
              <w:numPr>
                <w:ilvl w:val="0"/>
                <w:numId w:val="18"/>
              </w:numPr>
              <w:spacing w:after="0" w:line="360" w:lineRule="auto"/>
              <w:ind w:left="851" w:hanging="567"/>
              <w:rPr>
                <w:rFonts w:ascii="Lato" w:hAnsi="Lato" w:cs="Times New Roman"/>
                <w:sz w:val="24"/>
                <w:szCs w:val="24"/>
              </w:rPr>
            </w:pPr>
            <w:r w:rsidRPr="0006508F">
              <w:rPr>
                <w:rFonts w:ascii="Lato" w:hAnsi="Lato" w:cs="Times New Roman"/>
                <w:sz w:val="24"/>
                <w:szCs w:val="24"/>
              </w:rPr>
              <w:t>Vertical and Horizontal Reservations: A Primer</w:t>
            </w:r>
          </w:p>
        </w:tc>
        <w:tc>
          <w:tcPr>
            <w:tcW w:w="1054" w:type="dxa"/>
          </w:tcPr>
          <w:p w:rsidR="005A08E4" w:rsidRPr="0006508F" w:rsidRDefault="008A7220" w:rsidP="000E2ECE">
            <w:pPr>
              <w:spacing w:after="0" w:line="360" w:lineRule="auto"/>
              <w:rPr>
                <w:rFonts w:ascii="Lato" w:hAnsi="Lato" w:cs="Times New Roman"/>
                <w:sz w:val="24"/>
                <w:szCs w:val="24"/>
              </w:rPr>
            </w:pPr>
            <w:r w:rsidRPr="0006508F">
              <w:rPr>
                <w:rFonts w:ascii="Lato" w:hAnsi="Lato" w:cs="Times New Roman"/>
                <w:sz w:val="24"/>
                <w:szCs w:val="24"/>
              </w:rPr>
              <w:t>10</w:t>
            </w:r>
          </w:p>
        </w:tc>
      </w:tr>
      <w:tr w:rsidR="005A08E4" w:rsidRPr="0006508F" w:rsidTr="008A7220">
        <w:tc>
          <w:tcPr>
            <w:tcW w:w="8188" w:type="dxa"/>
          </w:tcPr>
          <w:p w:rsidR="005A08E4" w:rsidRPr="0006508F" w:rsidRDefault="005A08E4" w:rsidP="005A08E4">
            <w:pPr>
              <w:pStyle w:val="ListParagraph"/>
              <w:numPr>
                <w:ilvl w:val="0"/>
                <w:numId w:val="18"/>
              </w:numPr>
              <w:spacing w:after="0" w:line="360" w:lineRule="auto"/>
              <w:ind w:left="851" w:hanging="567"/>
              <w:rPr>
                <w:rFonts w:ascii="Lato" w:hAnsi="Lato" w:cs="Times New Roman"/>
                <w:sz w:val="24"/>
                <w:szCs w:val="24"/>
              </w:rPr>
            </w:pPr>
            <w:r w:rsidRPr="0006508F">
              <w:rPr>
                <w:rFonts w:ascii="Lato" w:hAnsi="Lato" w:cs="Times New Roman"/>
                <w:sz w:val="24"/>
                <w:szCs w:val="24"/>
              </w:rPr>
              <w:t>Why reservations for transgender persons should be horizontal</w:t>
            </w:r>
          </w:p>
        </w:tc>
        <w:tc>
          <w:tcPr>
            <w:tcW w:w="1054" w:type="dxa"/>
          </w:tcPr>
          <w:p w:rsidR="005A08E4" w:rsidRPr="0006508F" w:rsidRDefault="008A7220" w:rsidP="000E2ECE">
            <w:pPr>
              <w:spacing w:after="0" w:line="360" w:lineRule="auto"/>
              <w:rPr>
                <w:rFonts w:ascii="Lato" w:hAnsi="Lato" w:cs="Times New Roman"/>
                <w:sz w:val="24"/>
                <w:szCs w:val="24"/>
              </w:rPr>
            </w:pPr>
            <w:r w:rsidRPr="0006508F">
              <w:rPr>
                <w:rFonts w:ascii="Lato" w:hAnsi="Lato" w:cs="Times New Roman"/>
                <w:sz w:val="24"/>
                <w:szCs w:val="24"/>
              </w:rPr>
              <w:t>11</w:t>
            </w:r>
          </w:p>
        </w:tc>
      </w:tr>
      <w:tr w:rsidR="005A08E4" w:rsidRPr="0006508F" w:rsidTr="008A7220">
        <w:tc>
          <w:tcPr>
            <w:tcW w:w="8188" w:type="dxa"/>
          </w:tcPr>
          <w:p w:rsidR="005A08E4" w:rsidRPr="0006508F" w:rsidRDefault="005A08E4" w:rsidP="005A08E4">
            <w:pPr>
              <w:pStyle w:val="ListParagraph"/>
              <w:numPr>
                <w:ilvl w:val="0"/>
                <w:numId w:val="18"/>
              </w:numPr>
              <w:spacing w:after="0" w:line="360" w:lineRule="auto"/>
              <w:ind w:left="851" w:hanging="567"/>
              <w:rPr>
                <w:rFonts w:ascii="Lato" w:hAnsi="Lato" w:cs="Times New Roman"/>
                <w:sz w:val="24"/>
                <w:szCs w:val="24"/>
              </w:rPr>
            </w:pPr>
            <w:r w:rsidRPr="0006508F">
              <w:rPr>
                <w:rFonts w:ascii="Lato" w:hAnsi="Lato" w:cs="Times New Roman"/>
                <w:sz w:val="24"/>
                <w:szCs w:val="24"/>
              </w:rPr>
              <w:t>Reservations in promotion for transgender persons and other allied issues</w:t>
            </w:r>
          </w:p>
        </w:tc>
        <w:tc>
          <w:tcPr>
            <w:tcW w:w="1054" w:type="dxa"/>
          </w:tcPr>
          <w:p w:rsidR="005A08E4" w:rsidRPr="0006508F" w:rsidRDefault="008A7220" w:rsidP="000E2ECE">
            <w:pPr>
              <w:spacing w:after="0" w:line="360" w:lineRule="auto"/>
              <w:rPr>
                <w:rFonts w:ascii="Lato" w:hAnsi="Lato" w:cs="Times New Roman"/>
                <w:sz w:val="24"/>
                <w:szCs w:val="24"/>
              </w:rPr>
            </w:pPr>
            <w:r w:rsidRPr="0006508F">
              <w:rPr>
                <w:rFonts w:ascii="Lato" w:hAnsi="Lato" w:cs="Times New Roman"/>
                <w:sz w:val="24"/>
                <w:szCs w:val="24"/>
              </w:rPr>
              <w:t>14</w:t>
            </w:r>
          </w:p>
        </w:tc>
      </w:tr>
      <w:tr w:rsidR="005A08E4" w:rsidRPr="0006508F" w:rsidTr="008A7220">
        <w:tc>
          <w:tcPr>
            <w:tcW w:w="8188" w:type="dxa"/>
          </w:tcPr>
          <w:p w:rsidR="005A08E4" w:rsidRPr="0006508F" w:rsidRDefault="005A08E4" w:rsidP="008A7220">
            <w:pPr>
              <w:pStyle w:val="ListParagraph"/>
              <w:numPr>
                <w:ilvl w:val="0"/>
                <w:numId w:val="19"/>
              </w:numPr>
              <w:spacing w:after="0" w:line="360" w:lineRule="auto"/>
              <w:ind w:left="426" w:hanging="426"/>
              <w:rPr>
                <w:rFonts w:ascii="Lato" w:hAnsi="Lato" w:cs="Times New Roman"/>
                <w:sz w:val="24"/>
                <w:szCs w:val="24"/>
              </w:rPr>
            </w:pPr>
            <w:r w:rsidRPr="0006508F">
              <w:rPr>
                <w:rFonts w:ascii="Lato" w:hAnsi="Lato" w:cs="Times New Roman"/>
                <w:sz w:val="24"/>
                <w:szCs w:val="24"/>
              </w:rPr>
              <w:t>Conclusion and Recommendations</w:t>
            </w:r>
          </w:p>
        </w:tc>
        <w:tc>
          <w:tcPr>
            <w:tcW w:w="1054" w:type="dxa"/>
          </w:tcPr>
          <w:p w:rsidR="005A08E4" w:rsidRPr="0006508F" w:rsidRDefault="008A7220" w:rsidP="000E2ECE">
            <w:pPr>
              <w:spacing w:after="0" w:line="360" w:lineRule="auto"/>
              <w:rPr>
                <w:rFonts w:ascii="Lato" w:hAnsi="Lato" w:cs="Times New Roman"/>
                <w:sz w:val="24"/>
                <w:szCs w:val="24"/>
              </w:rPr>
            </w:pPr>
            <w:r w:rsidRPr="0006508F">
              <w:rPr>
                <w:rFonts w:ascii="Lato" w:hAnsi="Lato" w:cs="Times New Roman"/>
                <w:sz w:val="24"/>
                <w:szCs w:val="24"/>
              </w:rPr>
              <w:t>15</w:t>
            </w:r>
          </w:p>
        </w:tc>
      </w:tr>
    </w:tbl>
    <w:p w:rsidR="00017DF2" w:rsidRPr="0006508F" w:rsidRDefault="00017DF2" w:rsidP="000E2ECE">
      <w:pPr>
        <w:spacing w:after="0" w:line="360" w:lineRule="auto"/>
        <w:rPr>
          <w:rFonts w:ascii="Lato" w:hAnsi="Lato" w:cs="Times New Roman"/>
          <w:b/>
          <w:smallCaps/>
          <w:sz w:val="24"/>
          <w:szCs w:val="24"/>
        </w:rPr>
      </w:pPr>
    </w:p>
    <w:p w:rsidR="00C33412" w:rsidRPr="0006508F" w:rsidRDefault="00C33412" w:rsidP="00C33412">
      <w:pPr>
        <w:pStyle w:val="ListParagraph"/>
        <w:spacing w:after="0" w:line="360" w:lineRule="auto"/>
        <w:ind w:left="1080"/>
        <w:rPr>
          <w:rFonts w:ascii="Lato" w:hAnsi="Lato" w:cs="Times New Roman"/>
          <w:b/>
          <w:smallCaps/>
          <w:sz w:val="24"/>
          <w:szCs w:val="24"/>
        </w:rPr>
      </w:pPr>
    </w:p>
    <w:p w:rsidR="00C33412" w:rsidRPr="0006508F" w:rsidRDefault="00C33412" w:rsidP="00732B2B">
      <w:pPr>
        <w:spacing w:after="0" w:line="360" w:lineRule="auto"/>
        <w:rPr>
          <w:rFonts w:ascii="Lato" w:hAnsi="Lato" w:cs="Times New Roman"/>
          <w:b/>
          <w:smallCaps/>
          <w:sz w:val="24"/>
          <w:szCs w:val="24"/>
        </w:rPr>
      </w:pPr>
    </w:p>
    <w:p w:rsidR="005A08E4" w:rsidRPr="0006508F" w:rsidRDefault="005A08E4">
      <w:pPr>
        <w:spacing w:after="0" w:line="240" w:lineRule="auto"/>
        <w:rPr>
          <w:rFonts w:ascii="Lato" w:hAnsi="Lato" w:cs="Times New Roman"/>
          <w:b/>
          <w:smallCaps/>
          <w:sz w:val="24"/>
          <w:szCs w:val="24"/>
        </w:rPr>
      </w:pPr>
      <w:r w:rsidRPr="0006508F">
        <w:rPr>
          <w:rFonts w:ascii="Lato" w:hAnsi="Lato" w:cs="Times New Roman"/>
          <w:b/>
          <w:smallCaps/>
          <w:sz w:val="24"/>
          <w:szCs w:val="24"/>
        </w:rPr>
        <w:br w:type="page"/>
      </w:r>
    </w:p>
    <w:p w:rsidR="00295764" w:rsidRPr="0006508F" w:rsidRDefault="00295764" w:rsidP="00C33412">
      <w:pPr>
        <w:pStyle w:val="ListParagraph"/>
        <w:numPr>
          <w:ilvl w:val="0"/>
          <w:numId w:val="15"/>
        </w:numPr>
        <w:spacing w:after="0" w:line="360" w:lineRule="auto"/>
        <w:jc w:val="center"/>
        <w:rPr>
          <w:rFonts w:ascii="Lato" w:hAnsi="Lato" w:cs="Times New Roman"/>
          <w:b/>
          <w:smallCaps/>
          <w:sz w:val="24"/>
          <w:szCs w:val="24"/>
        </w:rPr>
      </w:pPr>
      <w:r w:rsidRPr="0006508F">
        <w:rPr>
          <w:rFonts w:ascii="Lato" w:hAnsi="Lato" w:cs="Times New Roman"/>
          <w:b/>
          <w:smallCaps/>
          <w:sz w:val="24"/>
          <w:szCs w:val="24"/>
        </w:rPr>
        <w:lastRenderedPageBreak/>
        <w:t>Introduction</w:t>
      </w:r>
    </w:p>
    <w:p w:rsidR="00C33412" w:rsidRPr="0006508F" w:rsidRDefault="00C33412" w:rsidP="000E2ECE">
      <w:pPr>
        <w:pStyle w:val="ListParagraph"/>
        <w:spacing w:after="0" w:line="360" w:lineRule="auto"/>
        <w:ind w:left="567" w:firstLine="153"/>
        <w:contextualSpacing w:val="0"/>
        <w:jc w:val="both"/>
        <w:rPr>
          <w:rFonts w:ascii="Lato" w:hAnsi="Lato" w:cs="Times New Roman"/>
          <w:sz w:val="24"/>
          <w:szCs w:val="24"/>
        </w:rPr>
      </w:pPr>
    </w:p>
    <w:p w:rsidR="00C33412" w:rsidRPr="0006508F" w:rsidRDefault="00295764" w:rsidP="00C33412">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 xml:space="preserve">In April 2014, the Supreme Court of India formally recognised </w:t>
      </w:r>
      <w:r w:rsidR="005A6730" w:rsidRPr="0006508F">
        <w:rPr>
          <w:rFonts w:ascii="Lato" w:hAnsi="Lato" w:cs="Times New Roman"/>
          <w:sz w:val="24"/>
          <w:szCs w:val="24"/>
        </w:rPr>
        <w:t>the rights of transgender person</w:t>
      </w:r>
      <w:r w:rsidR="00C33412" w:rsidRPr="0006508F">
        <w:rPr>
          <w:rFonts w:ascii="Lato" w:hAnsi="Lato" w:cs="Times New Roman"/>
          <w:sz w:val="24"/>
          <w:szCs w:val="24"/>
        </w:rPr>
        <w:t>s</w:t>
      </w:r>
      <w:r w:rsidRPr="0006508F">
        <w:rPr>
          <w:rFonts w:ascii="Lato" w:hAnsi="Lato" w:cs="Times New Roman"/>
          <w:sz w:val="24"/>
          <w:szCs w:val="24"/>
        </w:rPr>
        <w:t xml:space="preserve"> in </w:t>
      </w:r>
      <w:r w:rsidRPr="0006508F">
        <w:rPr>
          <w:rFonts w:ascii="Lato" w:hAnsi="Lato" w:cs="Times New Roman"/>
          <w:i/>
          <w:sz w:val="24"/>
          <w:szCs w:val="24"/>
        </w:rPr>
        <w:t xml:space="preserve">NALSA </w:t>
      </w:r>
      <w:r w:rsidRPr="0006508F">
        <w:rPr>
          <w:rFonts w:ascii="Lato" w:hAnsi="Lato" w:cs="Times New Roman"/>
          <w:sz w:val="24"/>
          <w:szCs w:val="24"/>
        </w:rPr>
        <w:t>v.</w:t>
      </w:r>
      <w:r w:rsidRPr="0006508F">
        <w:rPr>
          <w:rFonts w:ascii="Lato" w:hAnsi="Lato" w:cs="Times New Roman"/>
          <w:i/>
          <w:sz w:val="24"/>
          <w:szCs w:val="24"/>
        </w:rPr>
        <w:t xml:space="preserve"> Union of India</w:t>
      </w:r>
      <w:r w:rsidRPr="0006508F">
        <w:rPr>
          <w:rStyle w:val="FootnoteReference"/>
          <w:rFonts w:ascii="Lato" w:hAnsi="Lato" w:cs="Times New Roman"/>
          <w:sz w:val="24"/>
          <w:szCs w:val="24"/>
        </w:rPr>
        <w:footnoteReference w:id="1"/>
      </w:r>
      <w:r w:rsidRPr="0006508F">
        <w:rPr>
          <w:rFonts w:ascii="Lato" w:hAnsi="Lato" w:cs="Times New Roman"/>
          <w:i/>
          <w:sz w:val="24"/>
          <w:szCs w:val="24"/>
        </w:rPr>
        <w:t xml:space="preserve"> </w:t>
      </w:r>
      <w:r w:rsidRPr="0006508F">
        <w:rPr>
          <w:rFonts w:ascii="Lato" w:hAnsi="Lato" w:cs="Times New Roman"/>
          <w:sz w:val="24"/>
          <w:szCs w:val="24"/>
        </w:rPr>
        <w:t>(“</w:t>
      </w:r>
      <w:r w:rsidRPr="0006508F">
        <w:rPr>
          <w:rFonts w:ascii="Lato" w:hAnsi="Lato" w:cs="Times New Roman"/>
          <w:i/>
          <w:sz w:val="24"/>
          <w:szCs w:val="24"/>
        </w:rPr>
        <w:t>NALSA</w:t>
      </w:r>
      <w:r w:rsidR="00C33412" w:rsidRPr="0006508F">
        <w:rPr>
          <w:rFonts w:ascii="Lato" w:hAnsi="Lato" w:cs="Times New Roman"/>
          <w:sz w:val="24"/>
          <w:szCs w:val="24"/>
        </w:rPr>
        <w:t>”). The Court</w:t>
      </w:r>
      <w:r w:rsidRPr="0006508F">
        <w:rPr>
          <w:rFonts w:ascii="Lato" w:hAnsi="Lato" w:cs="Times New Roman"/>
          <w:sz w:val="24"/>
          <w:szCs w:val="24"/>
        </w:rPr>
        <w:t xml:space="preserve"> </w:t>
      </w:r>
      <w:r w:rsidR="00C33412" w:rsidRPr="0006508F">
        <w:rPr>
          <w:rFonts w:ascii="Lato" w:hAnsi="Lato" w:cs="Times New Roman"/>
          <w:sz w:val="24"/>
          <w:szCs w:val="24"/>
        </w:rPr>
        <w:t xml:space="preserve">recognised the right to </w:t>
      </w:r>
      <w:r w:rsidRPr="0006508F">
        <w:rPr>
          <w:rFonts w:ascii="Lato" w:hAnsi="Lato" w:cs="Times New Roman"/>
          <w:sz w:val="24"/>
          <w:szCs w:val="24"/>
        </w:rPr>
        <w:t xml:space="preserve">self-determination of </w:t>
      </w:r>
      <w:r w:rsidR="005A6730" w:rsidRPr="0006508F">
        <w:rPr>
          <w:rFonts w:ascii="Lato" w:hAnsi="Lato" w:cs="Times New Roman"/>
          <w:sz w:val="24"/>
          <w:szCs w:val="24"/>
        </w:rPr>
        <w:t xml:space="preserve">one’s </w:t>
      </w:r>
      <w:r w:rsidRPr="0006508F">
        <w:rPr>
          <w:rFonts w:ascii="Lato" w:hAnsi="Lato" w:cs="Times New Roman"/>
          <w:sz w:val="24"/>
          <w:szCs w:val="24"/>
        </w:rPr>
        <w:t>gender identity</w:t>
      </w:r>
      <w:r w:rsidR="005A6730" w:rsidRPr="0006508F">
        <w:rPr>
          <w:rFonts w:ascii="Lato" w:hAnsi="Lato" w:cs="Times New Roman"/>
          <w:sz w:val="24"/>
          <w:szCs w:val="24"/>
        </w:rPr>
        <w:t xml:space="preserve"> as male, female or transgender even without medical reassignment</w:t>
      </w:r>
      <w:r w:rsidRPr="0006508F">
        <w:rPr>
          <w:rFonts w:ascii="Lato" w:hAnsi="Lato" w:cs="Times New Roman"/>
          <w:sz w:val="24"/>
          <w:szCs w:val="24"/>
        </w:rPr>
        <w:t>.</w:t>
      </w:r>
      <w:r w:rsidRPr="0006508F">
        <w:rPr>
          <w:rStyle w:val="FootnoteReference"/>
          <w:rFonts w:ascii="Lato" w:hAnsi="Lato" w:cs="Times New Roman"/>
          <w:sz w:val="24"/>
          <w:szCs w:val="24"/>
        </w:rPr>
        <w:footnoteReference w:id="2"/>
      </w:r>
      <w:r w:rsidRPr="0006508F">
        <w:rPr>
          <w:rFonts w:ascii="Lato" w:hAnsi="Lato" w:cs="Times New Roman"/>
          <w:sz w:val="24"/>
          <w:szCs w:val="24"/>
        </w:rPr>
        <w:t xml:space="preserve"> </w:t>
      </w:r>
    </w:p>
    <w:p w:rsidR="00FB1785" w:rsidRPr="0006508F" w:rsidRDefault="00295764" w:rsidP="00FB1785">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It relied on the equality and anti-discrimination guarantees in Articles 14, 15, 16 and 19</w:t>
      </w:r>
      <w:r w:rsidRPr="0006508F">
        <w:rPr>
          <w:rStyle w:val="FootnoteReference"/>
          <w:rFonts w:ascii="Lato" w:hAnsi="Lato" w:cs="Times New Roman"/>
          <w:sz w:val="24"/>
          <w:szCs w:val="24"/>
        </w:rPr>
        <w:footnoteReference w:id="3"/>
      </w:r>
      <w:r w:rsidR="00C33412" w:rsidRPr="0006508F">
        <w:rPr>
          <w:rFonts w:ascii="Lato" w:hAnsi="Lato" w:cs="Times New Roman"/>
          <w:sz w:val="24"/>
          <w:szCs w:val="24"/>
        </w:rPr>
        <w:t xml:space="preserve"> of the c</w:t>
      </w:r>
      <w:r w:rsidRPr="0006508F">
        <w:rPr>
          <w:rFonts w:ascii="Lato" w:hAnsi="Lato" w:cs="Times New Roman"/>
          <w:sz w:val="24"/>
          <w:szCs w:val="24"/>
        </w:rPr>
        <w:t xml:space="preserve">onstitution </w:t>
      </w:r>
      <w:r w:rsidR="00C33412" w:rsidRPr="0006508F">
        <w:rPr>
          <w:rFonts w:ascii="Lato" w:hAnsi="Lato" w:cs="Times New Roman"/>
          <w:sz w:val="24"/>
          <w:szCs w:val="24"/>
        </w:rPr>
        <w:t xml:space="preserve">for </w:t>
      </w:r>
      <w:r w:rsidRPr="0006508F">
        <w:rPr>
          <w:rFonts w:ascii="Lato" w:hAnsi="Lato" w:cs="Times New Roman"/>
          <w:sz w:val="24"/>
          <w:szCs w:val="24"/>
        </w:rPr>
        <w:t xml:space="preserve">transgender persons. </w:t>
      </w:r>
      <w:proofErr w:type="gramStart"/>
      <w:r w:rsidRPr="0006508F">
        <w:rPr>
          <w:rFonts w:ascii="Lato" w:hAnsi="Lato" w:cs="Times New Roman"/>
          <w:sz w:val="24"/>
          <w:szCs w:val="24"/>
        </w:rPr>
        <w:t>Article 15 of the Constitution, which furthers the equality guarantee, identifies ‘sex’ as a prohibited ground of discrimination.</w:t>
      </w:r>
      <w:proofErr w:type="gramEnd"/>
      <w:r w:rsidRPr="0006508F">
        <w:rPr>
          <w:rFonts w:ascii="Lato" w:hAnsi="Lato" w:cs="Times New Roman"/>
          <w:sz w:val="24"/>
          <w:szCs w:val="24"/>
        </w:rPr>
        <w:t xml:space="preserve"> Article 15 places both a negative duty on the State not to discriminate on the basis of the identified protected characteristics and a positive duty to take steps for the advancement of certain classes of persons. Drawing on this mandate of Articles 15</w:t>
      </w:r>
      <w:r w:rsidR="00FB1785" w:rsidRPr="0006508F">
        <w:rPr>
          <w:rFonts w:ascii="Lato" w:hAnsi="Lato" w:cs="Times New Roman"/>
          <w:sz w:val="24"/>
          <w:szCs w:val="24"/>
        </w:rPr>
        <w:t>,</w:t>
      </w:r>
      <w:r w:rsidRPr="0006508F">
        <w:rPr>
          <w:rFonts w:ascii="Lato" w:hAnsi="Lato" w:cs="Times New Roman"/>
          <w:sz w:val="24"/>
          <w:szCs w:val="24"/>
        </w:rPr>
        <w:t xml:space="preserve"> the Supreme Court held that ‘sex’ includes ‘gender identity’ and therefore, discrimination on the basis of ‘gender identity’ would </w:t>
      </w:r>
      <w:r w:rsidR="005A6730" w:rsidRPr="0006508F">
        <w:rPr>
          <w:rFonts w:ascii="Lato" w:hAnsi="Lato" w:cs="Times New Roman"/>
          <w:sz w:val="24"/>
          <w:szCs w:val="24"/>
        </w:rPr>
        <w:t>be included within the understanding of discrimination on the basis of sex</w:t>
      </w:r>
      <w:r w:rsidR="00FB1785" w:rsidRPr="0006508F">
        <w:rPr>
          <w:rFonts w:ascii="Lato" w:hAnsi="Lato" w:cs="Times New Roman"/>
          <w:sz w:val="24"/>
          <w:szCs w:val="24"/>
        </w:rPr>
        <w:t xml:space="preserve">. </w:t>
      </w:r>
      <w:r w:rsidRPr="0006508F">
        <w:rPr>
          <w:rFonts w:ascii="Lato" w:hAnsi="Lato" w:cs="Times New Roman"/>
          <w:sz w:val="24"/>
          <w:szCs w:val="24"/>
        </w:rPr>
        <w:t xml:space="preserve">Further, it noted that transgender persons have been systematically denied their right to access public places and have not been afforded their rights under special provisions of the Constitution i.e. Articles 15(4) and 16(4), which are for the advancement of socially and educationally backward classes. </w:t>
      </w:r>
    </w:p>
    <w:p w:rsidR="00FB1785" w:rsidRPr="0006508F" w:rsidRDefault="00295764" w:rsidP="00FB1785">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 xml:space="preserve">The Supreme Court </w:t>
      </w:r>
      <w:r w:rsidR="00FB1785" w:rsidRPr="0006508F">
        <w:rPr>
          <w:rFonts w:ascii="Lato" w:hAnsi="Lato" w:cs="Times New Roman"/>
          <w:sz w:val="24"/>
          <w:szCs w:val="24"/>
        </w:rPr>
        <w:t xml:space="preserve">also </w:t>
      </w:r>
      <w:r w:rsidRPr="0006508F">
        <w:rPr>
          <w:rFonts w:ascii="Lato" w:hAnsi="Lato" w:cs="Times New Roman"/>
          <w:sz w:val="24"/>
          <w:szCs w:val="24"/>
        </w:rPr>
        <w:t>invoked Article 19(1</w:t>
      </w:r>
      <w:proofErr w:type="gramStart"/>
      <w:r w:rsidRPr="0006508F">
        <w:rPr>
          <w:rFonts w:ascii="Lato" w:hAnsi="Lato" w:cs="Times New Roman"/>
          <w:sz w:val="24"/>
          <w:szCs w:val="24"/>
        </w:rPr>
        <w:t>)(</w:t>
      </w:r>
      <w:proofErr w:type="gramEnd"/>
      <w:r w:rsidRPr="0006508F">
        <w:rPr>
          <w:rFonts w:ascii="Lato" w:hAnsi="Lato" w:cs="Times New Roman"/>
          <w:sz w:val="24"/>
          <w:szCs w:val="24"/>
        </w:rPr>
        <w:t>a) to recognise ‘liberty’ and more specifically, the right of transgender persons to express themselves, irrespective of whether they have undergone medical procedures.</w:t>
      </w:r>
      <w:r w:rsidRPr="0006508F">
        <w:rPr>
          <w:rStyle w:val="FootnoteReference"/>
          <w:rFonts w:ascii="Lato" w:hAnsi="Lato" w:cs="Times New Roman"/>
          <w:sz w:val="24"/>
          <w:szCs w:val="24"/>
        </w:rPr>
        <w:footnoteReference w:id="4"/>
      </w:r>
      <w:r w:rsidRPr="0006508F">
        <w:rPr>
          <w:rFonts w:ascii="Lato" w:hAnsi="Lato" w:cs="Times New Roman"/>
          <w:sz w:val="24"/>
          <w:szCs w:val="24"/>
        </w:rPr>
        <w:t xml:space="preserve"> It related the right to express one’s gender with dignity under Article 21 as an integral “</w:t>
      </w:r>
      <w:r w:rsidRPr="0006508F">
        <w:rPr>
          <w:rFonts w:ascii="Lato" w:hAnsi="Lato" w:cs="Times New Roman"/>
          <w:i/>
          <w:sz w:val="24"/>
          <w:szCs w:val="24"/>
        </w:rPr>
        <w:t>part of personal autonomy and self-expression</w:t>
      </w:r>
      <w:r w:rsidRPr="0006508F">
        <w:rPr>
          <w:rFonts w:ascii="Lato" w:hAnsi="Lato" w:cs="Times New Roman"/>
          <w:sz w:val="24"/>
          <w:szCs w:val="24"/>
        </w:rPr>
        <w:t>”</w:t>
      </w:r>
      <w:r w:rsidRPr="0006508F">
        <w:rPr>
          <w:rStyle w:val="FootnoteReference"/>
          <w:rFonts w:ascii="Lato" w:hAnsi="Lato" w:cs="Times New Roman"/>
          <w:sz w:val="24"/>
          <w:szCs w:val="24"/>
        </w:rPr>
        <w:footnoteReference w:id="5"/>
      </w:r>
      <w:r w:rsidRPr="0006508F">
        <w:rPr>
          <w:rFonts w:ascii="Lato" w:hAnsi="Lato" w:cs="Times New Roman"/>
          <w:sz w:val="24"/>
          <w:szCs w:val="24"/>
        </w:rPr>
        <w:t>, once again observing that there exists both a negative duty on the State to abstain from unnecessary interference, as well as a positive duty to provide for freedom, personal autonomy, self-determination and human dignity.</w:t>
      </w:r>
      <w:r w:rsidRPr="0006508F">
        <w:rPr>
          <w:rStyle w:val="FootnoteReference"/>
          <w:rFonts w:ascii="Lato" w:hAnsi="Lato" w:cs="Times New Roman"/>
          <w:sz w:val="24"/>
          <w:szCs w:val="24"/>
        </w:rPr>
        <w:footnoteReference w:id="6"/>
      </w:r>
    </w:p>
    <w:p w:rsidR="00FB1785" w:rsidRPr="0006508F" w:rsidRDefault="00295764" w:rsidP="00FB1785">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lastRenderedPageBreak/>
        <w:t>The Supreme Court issued nine directions to the Centre and State Governments to crystallise the economic, social, cultural and political rights</w:t>
      </w:r>
      <w:r w:rsidRPr="0006508F">
        <w:rPr>
          <w:rStyle w:val="FootnoteReference"/>
          <w:rFonts w:ascii="Lato" w:hAnsi="Lato" w:cs="Times New Roman"/>
          <w:sz w:val="24"/>
          <w:szCs w:val="24"/>
        </w:rPr>
        <w:footnoteReference w:id="7"/>
      </w:r>
      <w:r w:rsidRPr="0006508F">
        <w:rPr>
          <w:rFonts w:ascii="Lato" w:hAnsi="Lato" w:cs="Times New Roman"/>
          <w:sz w:val="24"/>
          <w:szCs w:val="24"/>
        </w:rPr>
        <w:t xml:space="preserve"> recognised in </w:t>
      </w:r>
      <w:r w:rsidRPr="0006508F">
        <w:rPr>
          <w:rFonts w:ascii="Lato" w:hAnsi="Lato" w:cs="Times New Roman"/>
          <w:i/>
          <w:sz w:val="24"/>
          <w:szCs w:val="24"/>
        </w:rPr>
        <w:t>NALSA</w:t>
      </w:r>
      <w:r w:rsidRPr="0006508F">
        <w:rPr>
          <w:rFonts w:ascii="Lato" w:hAnsi="Lato" w:cs="Times New Roman"/>
          <w:sz w:val="24"/>
          <w:szCs w:val="24"/>
        </w:rPr>
        <w:t xml:space="preserve"> and provide a guide for protecting the rights of transgender persons. These directions ranged from recognising the right to self-identification of gender identity, operating HIV zero-surveillance centres to framing social welfare schemes for their betterment and increasing public awareness to integrate transgender persons into social life. Significantly, </w:t>
      </w:r>
      <w:r w:rsidR="005A6730" w:rsidRPr="0006508F">
        <w:rPr>
          <w:rFonts w:ascii="Lato" w:hAnsi="Lato" w:cs="Times New Roman"/>
          <w:sz w:val="24"/>
          <w:szCs w:val="24"/>
        </w:rPr>
        <w:t xml:space="preserve">one of the </w:t>
      </w:r>
      <w:r w:rsidRPr="0006508F">
        <w:rPr>
          <w:rFonts w:ascii="Lato" w:hAnsi="Lato" w:cs="Times New Roman"/>
          <w:sz w:val="24"/>
          <w:szCs w:val="24"/>
        </w:rPr>
        <w:t xml:space="preserve">directions </w:t>
      </w:r>
      <w:r w:rsidR="005A6730" w:rsidRPr="0006508F">
        <w:rPr>
          <w:rFonts w:ascii="Lato" w:hAnsi="Lato" w:cs="Times New Roman"/>
          <w:sz w:val="24"/>
          <w:szCs w:val="24"/>
        </w:rPr>
        <w:t>is for</w:t>
      </w:r>
      <w:r w:rsidRPr="0006508F">
        <w:rPr>
          <w:rFonts w:ascii="Lato" w:hAnsi="Lato" w:cs="Times New Roman"/>
          <w:sz w:val="24"/>
          <w:szCs w:val="24"/>
        </w:rPr>
        <w:t>: “</w:t>
      </w:r>
      <w:r w:rsidRPr="0006508F">
        <w:rPr>
          <w:rFonts w:ascii="Lato" w:eastAsia="Times New Roman" w:hAnsi="Lato" w:cs="Times New Roman"/>
          <w:i/>
          <w:color w:val="000000"/>
          <w:sz w:val="24"/>
          <w:szCs w:val="24"/>
        </w:rPr>
        <w:t>…the Centre and the State Governments to take steps to treat them as socially and educationally backward classes of citizens and extend all kinds of reservation in cases of admission in educational institutions and for public appointments.</w:t>
      </w:r>
      <w:r w:rsidRPr="0006508F">
        <w:rPr>
          <w:rFonts w:ascii="Lato" w:eastAsia="Times New Roman" w:hAnsi="Lato" w:cs="Times New Roman"/>
          <w:color w:val="000000"/>
          <w:sz w:val="24"/>
          <w:szCs w:val="24"/>
        </w:rPr>
        <w:t>”</w:t>
      </w:r>
      <w:r w:rsidRPr="0006508F">
        <w:rPr>
          <w:rFonts w:ascii="Lato" w:hAnsi="Lato" w:cs="Times New Roman"/>
          <w:sz w:val="24"/>
          <w:szCs w:val="24"/>
        </w:rPr>
        <w:t xml:space="preserve"> The Supreme Court held that transgender persons are entitled to reservations in education and public employment as a socially and educationally backward class and directed the State to make provision for the same.</w:t>
      </w:r>
    </w:p>
    <w:p w:rsidR="00FB1785" w:rsidRPr="0006508F" w:rsidRDefault="00295764" w:rsidP="00FB1785">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 xml:space="preserve">Shortly after the decision in </w:t>
      </w:r>
      <w:r w:rsidRPr="0006508F">
        <w:rPr>
          <w:rFonts w:ascii="Lato" w:hAnsi="Lato" w:cs="Times New Roman"/>
          <w:i/>
          <w:sz w:val="24"/>
          <w:szCs w:val="24"/>
        </w:rPr>
        <w:t>NALSA</w:t>
      </w:r>
      <w:r w:rsidRPr="0006508F">
        <w:rPr>
          <w:rFonts w:ascii="Lato" w:hAnsi="Lato" w:cs="Times New Roman"/>
          <w:sz w:val="24"/>
          <w:szCs w:val="24"/>
        </w:rPr>
        <w:t>, legislative action was initiated at the Central level</w:t>
      </w:r>
      <w:r w:rsidR="00FB1785" w:rsidRPr="0006508F">
        <w:rPr>
          <w:rFonts w:ascii="Lato" w:hAnsi="Lato" w:cs="Times New Roman"/>
          <w:sz w:val="24"/>
          <w:szCs w:val="24"/>
        </w:rPr>
        <w:t xml:space="preserve">. First in 2014, the </w:t>
      </w:r>
      <w:r w:rsidRPr="0006508F">
        <w:rPr>
          <w:rFonts w:ascii="Lato" w:hAnsi="Lato" w:cs="Times New Roman"/>
          <w:sz w:val="24"/>
          <w:szCs w:val="24"/>
        </w:rPr>
        <w:t>Rights of Transgender Persons Bill, 2014 (</w:t>
      </w:r>
      <w:r w:rsidR="00FB1785" w:rsidRPr="0006508F">
        <w:rPr>
          <w:rFonts w:ascii="Lato" w:hAnsi="Lato" w:cs="Times New Roman"/>
          <w:sz w:val="24"/>
          <w:szCs w:val="24"/>
        </w:rPr>
        <w:t>“</w:t>
      </w:r>
      <w:r w:rsidRPr="0006508F">
        <w:rPr>
          <w:rFonts w:ascii="Lato" w:hAnsi="Lato" w:cs="Times New Roman"/>
          <w:sz w:val="24"/>
          <w:szCs w:val="24"/>
        </w:rPr>
        <w:t>2014 Bill</w:t>
      </w:r>
      <w:r w:rsidR="00FB1785" w:rsidRPr="0006508F">
        <w:rPr>
          <w:rFonts w:ascii="Lato" w:hAnsi="Lato" w:cs="Times New Roman"/>
          <w:sz w:val="24"/>
          <w:szCs w:val="24"/>
        </w:rPr>
        <w:t>”</w:t>
      </w:r>
      <w:r w:rsidRPr="0006508F">
        <w:rPr>
          <w:rFonts w:ascii="Lato" w:hAnsi="Lato" w:cs="Times New Roman"/>
          <w:sz w:val="24"/>
          <w:szCs w:val="24"/>
        </w:rPr>
        <w:t xml:space="preserve">), was introduced as a private member bill in the </w:t>
      </w:r>
      <w:proofErr w:type="spellStart"/>
      <w:r w:rsidRPr="0006508F">
        <w:rPr>
          <w:rFonts w:ascii="Lato" w:hAnsi="Lato" w:cs="Times New Roman"/>
          <w:sz w:val="24"/>
          <w:szCs w:val="24"/>
        </w:rPr>
        <w:t>Rajya</w:t>
      </w:r>
      <w:proofErr w:type="spellEnd"/>
      <w:r w:rsidRPr="0006508F">
        <w:rPr>
          <w:rFonts w:ascii="Lato" w:hAnsi="Lato" w:cs="Times New Roman"/>
          <w:sz w:val="24"/>
          <w:szCs w:val="24"/>
        </w:rPr>
        <w:t xml:space="preserve"> </w:t>
      </w:r>
      <w:proofErr w:type="spellStart"/>
      <w:r w:rsidRPr="0006508F">
        <w:rPr>
          <w:rFonts w:ascii="Lato" w:hAnsi="Lato" w:cs="Times New Roman"/>
          <w:sz w:val="24"/>
          <w:szCs w:val="24"/>
        </w:rPr>
        <w:t>Sabha</w:t>
      </w:r>
      <w:proofErr w:type="spellEnd"/>
      <w:r w:rsidR="00FB1785" w:rsidRPr="0006508F">
        <w:rPr>
          <w:rFonts w:ascii="Lato" w:hAnsi="Lato" w:cs="Times New Roman"/>
          <w:sz w:val="24"/>
          <w:szCs w:val="24"/>
        </w:rPr>
        <w:t xml:space="preserve">. This </w:t>
      </w:r>
      <w:r w:rsidRPr="0006508F">
        <w:rPr>
          <w:rFonts w:ascii="Lato" w:hAnsi="Lato" w:cs="Times New Roman"/>
          <w:sz w:val="24"/>
          <w:szCs w:val="24"/>
        </w:rPr>
        <w:t xml:space="preserve">provided that 2% of </w:t>
      </w:r>
      <w:r w:rsidR="00FB1785" w:rsidRPr="0006508F">
        <w:rPr>
          <w:rFonts w:ascii="Lato" w:hAnsi="Lato" w:cs="Times New Roman"/>
          <w:sz w:val="24"/>
          <w:szCs w:val="24"/>
        </w:rPr>
        <w:t xml:space="preserve">the </w:t>
      </w:r>
      <w:r w:rsidRPr="0006508F">
        <w:rPr>
          <w:rFonts w:ascii="Lato" w:hAnsi="Lato" w:cs="Times New Roman"/>
          <w:sz w:val="24"/>
          <w:szCs w:val="24"/>
        </w:rPr>
        <w:t xml:space="preserve">total seats in Government and Government aided institutions of primary, secondary and higher education as well as in every Government establishment are to be </w:t>
      </w:r>
      <w:r w:rsidR="00FB1785" w:rsidRPr="0006508F">
        <w:rPr>
          <w:rFonts w:ascii="Lato" w:hAnsi="Lato" w:cs="Times New Roman"/>
          <w:sz w:val="24"/>
          <w:szCs w:val="24"/>
        </w:rPr>
        <w:t xml:space="preserve">reserved for </w:t>
      </w:r>
      <w:r w:rsidRPr="0006508F">
        <w:rPr>
          <w:rFonts w:ascii="Lato" w:hAnsi="Lato" w:cs="Times New Roman"/>
          <w:sz w:val="24"/>
          <w:szCs w:val="24"/>
        </w:rPr>
        <w:t xml:space="preserve">transgender persons. </w:t>
      </w:r>
      <w:r w:rsidR="00FB1785" w:rsidRPr="0006508F">
        <w:rPr>
          <w:rFonts w:ascii="Lato" w:hAnsi="Lato" w:cs="Times New Roman"/>
          <w:sz w:val="24"/>
          <w:szCs w:val="24"/>
        </w:rPr>
        <w:t xml:space="preserve">Thereafter </w:t>
      </w:r>
      <w:r w:rsidRPr="0006508F">
        <w:rPr>
          <w:rFonts w:ascii="Lato" w:hAnsi="Lato" w:cs="Times New Roman"/>
          <w:sz w:val="24"/>
          <w:szCs w:val="24"/>
        </w:rPr>
        <w:t>the Central Government, through the Ministry of Social Justice and Empowerment, introduced the Transgender Persons (Protection of Rights) Bill, 2016 (</w:t>
      </w:r>
      <w:r w:rsidR="00FB1785" w:rsidRPr="0006508F">
        <w:rPr>
          <w:rFonts w:ascii="Lato" w:hAnsi="Lato" w:cs="Times New Roman"/>
          <w:sz w:val="24"/>
          <w:szCs w:val="24"/>
        </w:rPr>
        <w:t>“</w:t>
      </w:r>
      <w:r w:rsidRPr="0006508F">
        <w:rPr>
          <w:rFonts w:ascii="Lato" w:hAnsi="Lato" w:cs="Times New Roman"/>
          <w:sz w:val="24"/>
          <w:szCs w:val="24"/>
        </w:rPr>
        <w:t>2016 Bill</w:t>
      </w:r>
      <w:r w:rsidR="00FB1785" w:rsidRPr="0006508F">
        <w:rPr>
          <w:rFonts w:ascii="Lato" w:hAnsi="Lato" w:cs="Times New Roman"/>
          <w:sz w:val="24"/>
          <w:szCs w:val="24"/>
        </w:rPr>
        <w:t>”</w:t>
      </w:r>
      <w:r w:rsidRPr="0006508F">
        <w:rPr>
          <w:rFonts w:ascii="Lato" w:hAnsi="Lato" w:cs="Times New Roman"/>
          <w:sz w:val="24"/>
          <w:szCs w:val="24"/>
        </w:rPr>
        <w:t xml:space="preserve">) in the </w:t>
      </w:r>
      <w:proofErr w:type="spellStart"/>
      <w:r w:rsidRPr="0006508F">
        <w:rPr>
          <w:rFonts w:ascii="Lato" w:hAnsi="Lato" w:cs="Times New Roman"/>
          <w:sz w:val="24"/>
          <w:szCs w:val="24"/>
        </w:rPr>
        <w:t>Lok</w:t>
      </w:r>
      <w:proofErr w:type="spellEnd"/>
      <w:r w:rsidRPr="0006508F">
        <w:rPr>
          <w:rFonts w:ascii="Lato" w:hAnsi="Lato" w:cs="Times New Roman"/>
          <w:sz w:val="24"/>
          <w:szCs w:val="24"/>
        </w:rPr>
        <w:t xml:space="preserve"> </w:t>
      </w:r>
      <w:proofErr w:type="spellStart"/>
      <w:r w:rsidRPr="0006508F">
        <w:rPr>
          <w:rFonts w:ascii="Lato" w:hAnsi="Lato" w:cs="Times New Roman"/>
          <w:sz w:val="24"/>
          <w:szCs w:val="24"/>
        </w:rPr>
        <w:t>Sabha</w:t>
      </w:r>
      <w:proofErr w:type="spellEnd"/>
      <w:r w:rsidRPr="0006508F">
        <w:rPr>
          <w:rFonts w:ascii="Lato" w:hAnsi="Lato" w:cs="Times New Roman"/>
          <w:sz w:val="24"/>
          <w:szCs w:val="24"/>
        </w:rPr>
        <w:t xml:space="preserve">. </w:t>
      </w:r>
      <w:r w:rsidR="00FB1785" w:rsidRPr="0006508F">
        <w:rPr>
          <w:rFonts w:ascii="Lato" w:hAnsi="Lato" w:cs="Times New Roman"/>
          <w:sz w:val="24"/>
          <w:szCs w:val="24"/>
        </w:rPr>
        <w:t xml:space="preserve">The </w:t>
      </w:r>
      <w:r w:rsidRPr="0006508F">
        <w:rPr>
          <w:rFonts w:ascii="Lato" w:hAnsi="Lato" w:cs="Times New Roman"/>
          <w:sz w:val="24"/>
          <w:szCs w:val="24"/>
        </w:rPr>
        <w:t xml:space="preserve">2016 Bill </w:t>
      </w:r>
      <w:r w:rsidR="000E2ECE" w:rsidRPr="0006508F">
        <w:rPr>
          <w:rFonts w:ascii="Lato" w:hAnsi="Lato" w:cs="Times New Roman"/>
          <w:sz w:val="24"/>
          <w:szCs w:val="24"/>
        </w:rPr>
        <w:t xml:space="preserve">did </w:t>
      </w:r>
      <w:r w:rsidRPr="0006508F">
        <w:rPr>
          <w:rFonts w:ascii="Lato" w:hAnsi="Lato" w:cs="Times New Roman"/>
          <w:sz w:val="24"/>
          <w:szCs w:val="24"/>
        </w:rPr>
        <w:t>not provide for any reservations in admission in educational institutions and public employment.</w:t>
      </w:r>
    </w:p>
    <w:p w:rsidR="00FB1785" w:rsidRPr="0006508F" w:rsidRDefault="00FB1785" w:rsidP="00FB1785">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P</w:t>
      </w:r>
      <w:r w:rsidR="00295764" w:rsidRPr="0006508F">
        <w:rPr>
          <w:rFonts w:ascii="Lato" w:hAnsi="Lato" w:cs="Times New Roman"/>
          <w:sz w:val="24"/>
          <w:szCs w:val="24"/>
        </w:rPr>
        <w:t xml:space="preserve">rior to the introduction of the 2016 Bill, the National Commission for Backward Classes also recommended that transgender persons be treated as a socially and educationally backward class. </w:t>
      </w:r>
      <w:r w:rsidRPr="0006508F">
        <w:rPr>
          <w:rFonts w:ascii="Lato" w:hAnsi="Lato" w:cs="Times New Roman"/>
          <w:sz w:val="24"/>
          <w:szCs w:val="24"/>
        </w:rPr>
        <w:t xml:space="preserve">Following this, </w:t>
      </w:r>
      <w:r w:rsidR="00295764" w:rsidRPr="0006508F">
        <w:rPr>
          <w:rFonts w:ascii="Lato" w:hAnsi="Lato" w:cs="Times New Roman"/>
          <w:sz w:val="24"/>
          <w:szCs w:val="24"/>
        </w:rPr>
        <w:t>in July 2018</w:t>
      </w:r>
      <w:r w:rsidRPr="0006508F">
        <w:rPr>
          <w:rFonts w:ascii="Lato" w:hAnsi="Lato" w:cs="Times New Roman"/>
          <w:sz w:val="24"/>
          <w:szCs w:val="24"/>
        </w:rPr>
        <w:t xml:space="preserve"> </w:t>
      </w:r>
      <w:r w:rsidR="00295764" w:rsidRPr="0006508F">
        <w:rPr>
          <w:rFonts w:ascii="Lato" w:hAnsi="Lato" w:cs="Times New Roman"/>
          <w:sz w:val="24"/>
          <w:szCs w:val="24"/>
        </w:rPr>
        <w:t>Kerala implemented an ad hoc system of reservations for transgender persons and announced ‘two additional seats’ for transgender persons in all courses in Universities and affiliated Arts and Science colleges, subject to fulfilment of the qualifications prescribed.</w:t>
      </w:r>
      <w:r w:rsidRPr="0006508F">
        <w:rPr>
          <w:rStyle w:val="FootnoteReference"/>
          <w:rFonts w:ascii="Lato" w:hAnsi="Lato" w:cs="Times New Roman"/>
          <w:sz w:val="24"/>
          <w:szCs w:val="24"/>
        </w:rPr>
        <w:t xml:space="preserve"> </w:t>
      </w:r>
      <w:r w:rsidRPr="0006508F">
        <w:rPr>
          <w:rFonts w:ascii="Lato" w:hAnsi="Lato" w:cs="Times New Roman"/>
          <w:sz w:val="24"/>
          <w:szCs w:val="24"/>
        </w:rPr>
        <w:t xml:space="preserve">This was the first attempt by any state government to provide for transgender reservations. </w:t>
      </w:r>
      <w:r w:rsidR="00295764" w:rsidRPr="0006508F">
        <w:rPr>
          <w:rFonts w:ascii="Lato" w:hAnsi="Lato" w:cs="Times New Roman"/>
          <w:sz w:val="24"/>
          <w:szCs w:val="24"/>
        </w:rPr>
        <w:t xml:space="preserve">  </w:t>
      </w:r>
    </w:p>
    <w:p w:rsidR="00F21780" w:rsidRPr="0006508F" w:rsidRDefault="00295764" w:rsidP="00F21780">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lastRenderedPageBreak/>
        <w:t xml:space="preserve">While </w:t>
      </w:r>
      <w:r w:rsidR="00FB1785" w:rsidRPr="0006508F">
        <w:rPr>
          <w:rFonts w:ascii="Lato" w:hAnsi="Lato" w:cs="Times New Roman"/>
          <w:sz w:val="24"/>
          <w:szCs w:val="24"/>
        </w:rPr>
        <w:t xml:space="preserve">many cases relating to </w:t>
      </w:r>
      <w:r w:rsidRPr="0006508F">
        <w:rPr>
          <w:rFonts w:ascii="Lato" w:hAnsi="Lato" w:cs="Times New Roman"/>
          <w:sz w:val="24"/>
          <w:szCs w:val="24"/>
        </w:rPr>
        <w:t xml:space="preserve">transgender persons </w:t>
      </w:r>
      <w:r w:rsidR="00FB1785" w:rsidRPr="0006508F">
        <w:rPr>
          <w:rFonts w:ascii="Lato" w:hAnsi="Lato" w:cs="Times New Roman"/>
          <w:sz w:val="24"/>
          <w:szCs w:val="24"/>
        </w:rPr>
        <w:t xml:space="preserve">in public employment have gone to the High Courts, they have been cases relating to transgender women seeking government jobs as women. In most of these cases, the High Courts have affirmed such job selections of candidates as women. In </w:t>
      </w:r>
      <w:r w:rsidRPr="0006508F">
        <w:rPr>
          <w:rFonts w:ascii="Lato" w:hAnsi="Lato" w:cs="Times New Roman"/>
          <w:sz w:val="24"/>
          <w:szCs w:val="24"/>
        </w:rPr>
        <w:t xml:space="preserve">2016, the High Court of Madras </w:t>
      </w:r>
      <w:r w:rsidR="00F21780" w:rsidRPr="0006508F">
        <w:rPr>
          <w:rFonts w:ascii="Lato" w:hAnsi="Lato" w:cs="Times New Roman"/>
          <w:sz w:val="24"/>
          <w:szCs w:val="24"/>
        </w:rPr>
        <w:t>in a short order in</w:t>
      </w:r>
      <w:r w:rsidRPr="0006508F">
        <w:rPr>
          <w:rFonts w:ascii="Lato" w:hAnsi="Lato" w:cs="Times New Roman"/>
          <w:sz w:val="24"/>
          <w:szCs w:val="24"/>
        </w:rPr>
        <w:t xml:space="preserve"> a writ petition seeking implementation of reservations for transgender persons in Tamil Nadu</w:t>
      </w:r>
      <w:r w:rsidR="00F21780" w:rsidRPr="0006508F">
        <w:rPr>
          <w:rFonts w:ascii="Lato" w:hAnsi="Lato" w:cs="Times New Roman"/>
          <w:sz w:val="24"/>
          <w:szCs w:val="24"/>
        </w:rPr>
        <w:t xml:space="preserve">, </w:t>
      </w:r>
      <w:r w:rsidRPr="0006508F">
        <w:rPr>
          <w:rFonts w:ascii="Lato" w:hAnsi="Lato" w:cs="Times New Roman"/>
          <w:sz w:val="24"/>
          <w:szCs w:val="24"/>
        </w:rPr>
        <w:t>directed the Tamil Nadu Social Welfare Department to consider a percentage or post based reservation for transgender persons, rather than providing for reservations under the ‘Most Backward Classes’ category.</w:t>
      </w:r>
      <w:r w:rsidR="00F21780" w:rsidRPr="0006508F">
        <w:rPr>
          <w:rFonts w:ascii="Lato" w:hAnsi="Lato" w:cs="Times New Roman"/>
          <w:sz w:val="24"/>
          <w:szCs w:val="24"/>
        </w:rPr>
        <w:t xml:space="preserve"> It is not clear if this order has been implemented or not.</w:t>
      </w:r>
      <w:r w:rsidRPr="0006508F">
        <w:rPr>
          <w:rFonts w:ascii="Lato" w:hAnsi="Lato" w:cs="Times New Roman"/>
          <w:sz w:val="24"/>
          <w:szCs w:val="24"/>
        </w:rPr>
        <w:t xml:space="preserve"> </w:t>
      </w:r>
      <w:r w:rsidR="000E2ECE" w:rsidRPr="0006508F">
        <w:rPr>
          <w:rFonts w:ascii="Lato" w:hAnsi="Lato" w:cs="Times New Roman"/>
          <w:sz w:val="24"/>
          <w:szCs w:val="24"/>
        </w:rPr>
        <w:t xml:space="preserve"> </w:t>
      </w:r>
    </w:p>
    <w:p w:rsidR="00295764" w:rsidRPr="0006508F" w:rsidRDefault="000E2ECE" w:rsidP="00F21780">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 xml:space="preserve">In this background, this </w:t>
      </w:r>
      <w:r w:rsidR="00295764" w:rsidRPr="0006508F">
        <w:rPr>
          <w:rFonts w:ascii="Lato" w:hAnsi="Lato" w:cs="Times New Roman"/>
          <w:sz w:val="24"/>
          <w:szCs w:val="24"/>
        </w:rPr>
        <w:t>policy brief aims to take this discussion forward with the objective of finding a comprehensive, functional and long-lasting solution to the issues that are likely to arise.</w:t>
      </w:r>
      <w:r w:rsidRPr="0006508F">
        <w:rPr>
          <w:rFonts w:ascii="Lato" w:hAnsi="Lato" w:cs="Times New Roman"/>
          <w:sz w:val="24"/>
          <w:szCs w:val="24"/>
        </w:rPr>
        <w:t xml:space="preserve"> </w:t>
      </w:r>
      <w:r w:rsidR="00295764" w:rsidRPr="0006508F">
        <w:rPr>
          <w:rFonts w:ascii="Lato" w:hAnsi="Lato" w:cs="Times New Roman"/>
          <w:sz w:val="24"/>
          <w:szCs w:val="24"/>
        </w:rPr>
        <w:t>In implementing reservations for transgender persons in admission in educational institutions and public emplo</w:t>
      </w:r>
      <w:r w:rsidR="007834B7" w:rsidRPr="0006508F">
        <w:rPr>
          <w:rFonts w:ascii="Lato" w:hAnsi="Lato" w:cs="Times New Roman"/>
          <w:sz w:val="24"/>
          <w:szCs w:val="24"/>
        </w:rPr>
        <w:t>yment, we confront three principal</w:t>
      </w:r>
      <w:r w:rsidR="00295764" w:rsidRPr="0006508F">
        <w:rPr>
          <w:rFonts w:ascii="Lato" w:hAnsi="Lato" w:cs="Times New Roman"/>
          <w:sz w:val="24"/>
          <w:szCs w:val="24"/>
        </w:rPr>
        <w:t xml:space="preserve"> issues – </w:t>
      </w:r>
      <w:r w:rsidR="008A5AB8" w:rsidRPr="0006508F">
        <w:rPr>
          <w:rFonts w:ascii="Lato" w:hAnsi="Lato" w:cs="Times New Roman"/>
          <w:sz w:val="24"/>
          <w:szCs w:val="24"/>
        </w:rPr>
        <w:t xml:space="preserve">identification of the beneficiaries of reservation, </w:t>
      </w:r>
      <w:r w:rsidR="00295764" w:rsidRPr="0006508F">
        <w:rPr>
          <w:rFonts w:ascii="Lato" w:hAnsi="Lato" w:cs="Times New Roman"/>
          <w:sz w:val="24"/>
          <w:szCs w:val="24"/>
        </w:rPr>
        <w:t>the legal basis for reservations and the appropriate form of reservations.</w:t>
      </w:r>
      <w:r w:rsidR="00F21780" w:rsidRPr="0006508F">
        <w:rPr>
          <w:rFonts w:ascii="Lato" w:hAnsi="Lato" w:cs="Times New Roman"/>
          <w:sz w:val="24"/>
          <w:szCs w:val="24"/>
        </w:rPr>
        <w:t xml:space="preserve"> </w:t>
      </w:r>
      <w:r w:rsidR="00295764" w:rsidRPr="0006508F">
        <w:rPr>
          <w:rFonts w:ascii="Lato" w:hAnsi="Lato" w:cs="Times New Roman"/>
          <w:sz w:val="24"/>
          <w:szCs w:val="24"/>
        </w:rPr>
        <w:t>In the following sections, we will discuss each of these issues in greater detail and set out a proposal for implementation of reservation for transgender persons in admission in educational institutions and public employment.</w:t>
      </w:r>
    </w:p>
    <w:p w:rsidR="000E2ECE" w:rsidRPr="0006508F" w:rsidRDefault="000E2ECE" w:rsidP="000E2ECE">
      <w:pPr>
        <w:pStyle w:val="ListParagraph"/>
        <w:spacing w:after="0" w:line="360" w:lineRule="auto"/>
        <w:ind w:left="567"/>
        <w:contextualSpacing w:val="0"/>
        <w:jc w:val="both"/>
        <w:rPr>
          <w:rFonts w:ascii="Lato" w:hAnsi="Lato" w:cs="Times New Roman"/>
          <w:sz w:val="24"/>
          <w:szCs w:val="24"/>
        </w:rPr>
      </w:pPr>
    </w:p>
    <w:p w:rsidR="00F21780" w:rsidRPr="0006508F" w:rsidRDefault="00F21780" w:rsidP="000E2ECE">
      <w:pPr>
        <w:pStyle w:val="ListParagraph"/>
        <w:spacing w:after="0" w:line="360" w:lineRule="auto"/>
        <w:ind w:left="567"/>
        <w:contextualSpacing w:val="0"/>
        <w:jc w:val="both"/>
        <w:rPr>
          <w:rFonts w:ascii="Lato" w:hAnsi="Lato" w:cs="Times New Roman"/>
          <w:sz w:val="24"/>
          <w:szCs w:val="24"/>
        </w:rPr>
      </w:pPr>
    </w:p>
    <w:p w:rsidR="000E2ECE" w:rsidRPr="0006508F" w:rsidRDefault="00DA3F0D" w:rsidP="00F21780">
      <w:pPr>
        <w:pStyle w:val="ListParagraph"/>
        <w:numPr>
          <w:ilvl w:val="0"/>
          <w:numId w:val="15"/>
        </w:numPr>
        <w:spacing w:after="0" w:line="360" w:lineRule="auto"/>
        <w:jc w:val="center"/>
        <w:rPr>
          <w:rFonts w:ascii="Lato" w:hAnsi="Lato" w:cs="Times New Roman"/>
          <w:b/>
          <w:smallCaps/>
          <w:sz w:val="24"/>
          <w:szCs w:val="24"/>
        </w:rPr>
      </w:pPr>
      <w:r w:rsidRPr="0006508F">
        <w:rPr>
          <w:rFonts w:ascii="Lato" w:hAnsi="Lato" w:cs="Times New Roman"/>
          <w:b/>
          <w:smallCaps/>
          <w:sz w:val="24"/>
          <w:szCs w:val="24"/>
        </w:rPr>
        <w:t xml:space="preserve">Who are </w:t>
      </w:r>
      <w:r w:rsidR="00F17C50" w:rsidRPr="0006508F">
        <w:rPr>
          <w:rFonts w:ascii="Lato" w:hAnsi="Lato" w:cs="Times New Roman"/>
          <w:b/>
          <w:smallCaps/>
          <w:sz w:val="24"/>
          <w:szCs w:val="24"/>
        </w:rPr>
        <w:t>the beneficiaries</w:t>
      </w:r>
      <w:r w:rsidRPr="0006508F">
        <w:rPr>
          <w:rFonts w:ascii="Lato" w:hAnsi="Lato" w:cs="Times New Roman"/>
          <w:b/>
          <w:smallCaps/>
          <w:sz w:val="24"/>
          <w:szCs w:val="24"/>
        </w:rPr>
        <w:t>?</w:t>
      </w:r>
    </w:p>
    <w:p w:rsidR="00F21780" w:rsidRPr="0006508F" w:rsidRDefault="00F21780" w:rsidP="009B5E1C">
      <w:pPr>
        <w:spacing w:after="0" w:line="360" w:lineRule="auto"/>
        <w:jc w:val="both"/>
        <w:rPr>
          <w:rFonts w:ascii="Lato" w:hAnsi="Lato" w:cs="Times New Roman"/>
          <w:sz w:val="24"/>
          <w:szCs w:val="24"/>
        </w:rPr>
      </w:pPr>
      <w:r w:rsidRPr="0006508F">
        <w:rPr>
          <w:rFonts w:ascii="Lato" w:hAnsi="Lato" w:cs="Times New Roman"/>
          <w:sz w:val="24"/>
          <w:szCs w:val="24"/>
        </w:rPr>
        <w:t xml:space="preserve"> </w:t>
      </w:r>
    </w:p>
    <w:p w:rsidR="009B5E1C" w:rsidRPr="0006508F" w:rsidRDefault="00F21780" w:rsidP="009B5E1C">
      <w:pPr>
        <w:pStyle w:val="ListParagraph"/>
        <w:spacing w:after="0" w:line="360" w:lineRule="auto"/>
        <w:ind w:left="0" w:firstLine="720"/>
        <w:contextualSpacing w:val="0"/>
        <w:jc w:val="both"/>
        <w:rPr>
          <w:rFonts w:ascii="Lato" w:hAnsi="Lato"/>
          <w:sz w:val="24"/>
          <w:szCs w:val="24"/>
        </w:rPr>
      </w:pPr>
      <w:r w:rsidRPr="0006508F">
        <w:rPr>
          <w:rFonts w:ascii="Lato" w:hAnsi="Lato" w:cs="Times New Roman"/>
          <w:sz w:val="24"/>
          <w:szCs w:val="24"/>
        </w:rPr>
        <w:t xml:space="preserve"> </w:t>
      </w:r>
      <w:r w:rsidRPr="0006508F">
        <w:rPr>
          <w:rFonts w:ascii="Lato" w:hAnsi="Lato"/>
          <w:sz w:val="24"/>
          <w:szCs w:val="24"/>
        </w:rPr>
        <w:t xml:space="preserve">A key aspect of implementing reservations is identifying and defining a stable group that is entitled to reservations. However, </w:t>
      </w:r>
      <w:r w:rsidRPr="0006508F">
        <w:rPr>
          <w:rFonts w:ascii="Lato" w:hAnsi="Lato"/>
          <w:i/>
          <w:sz w:val="24"/>
          <w:szCs w:val="24"/>
        </w:rPr>
        <w:t xml:space="preserve">NALSA </w:t>
      </w:r>
      <w:r w:rsidRPr="0006508F">
        <w:rPr>
          <w:rFonts w:ascii="Lato" w:hAnsi="Lato"/>
          <w:sz w:val="24"/>
          <w:szCs w:val="24"/>
        </w:rPr>
        <w:t xml:space="preserve">does not offer a clear picture of who can be categorised as ‘transgender persons’ who may access these reservations. Despite discussing a multitude of gender identities and while upholding the right to self-determination of gender identity, </w:t>
      </w:r>
      <w:r w:rsidR="009B5E1C" w:rsidRPr="0006508F">
        <w:rPr>
          <w:rFonts w:ascii="Lato" w:hAnsi="Lato"/>
          <w:sz w:val="24"/>
          <w:szCs w:val="24"/>
        </w:rPr>
        <w:t xml:space="preserve">in some part of the text of the judgement, </w:t>
      </w:r>
      <w:r w:rsidRPr="0006508F">
        <w:rPr>
          <w:rFonts w:ascii="Lato" w:hAnsi="Lato"/>
          <w:i/>
          <w:sz w:val="24"/>
          <w:szCs w:val="24"/>
        </w:rPr>
        <w:t xml:space="preserve">NALSA </w:t>
      </w:r>
      <w:r w:rsidR="009B5E1C" w:rsidRPr="0006508F">
        <w:rPr>
          <w:rFonts w:ascii="Lato" w:hAnsi="Lato"/>
          <w:sz w:val="24"/>
          <w:szCs w:val="24"/>
        </w:rPr>
        <w:t xml:space="preserve">refers to </w:t>
      </w:r>
      <w:r w:rsidRPr="0006508F">
        <w:rPr>
          <w:rFonts w:ascii="Lato" w:hAnsi="Lato"/>
          <w:sz w:val="24"/>
          <w:szCs w:val="24"/>
        </w:rPr>
        <w:t>“</w:t>
      </w:r>
      <w:proofErr w:type="spellStart"/>
      <w:r w:rsidRPr="0006508F">
        <w:rPr>
          <w:rFonts w:ascii="Lato" w:hAnsi="Lato"/>
          <w:i/>
          <w:sz w:val="24"/>
          <w:szCs w:val="24"/>
        </w:rPr>
        <w:t>hijras</w:t>
      </w:r>
      <w:proofErr w:type="spellEnd"/>
      <w:r w:rsidR="009B5E1C" w:rsidRPr="0006508F">
        <w:rPr>
          <w:rFonts w:ascii="Lato" w:hAnsi="Lato"/>
          <w:sz w:val="24"/>
          <w:szCs w:val="24"/>
        </w:rPr>
        <w:t xml:space="preserve"> and</w:t>
      </w:r>
      <w:r w:rsidRPr="0006508F">
        <w:rPr>
          <w:rFonts w:ascii="Lato" w:hAnsi="Lato"/>
          <w:sz w:val="24"/>
          <w:szCs w:val="24"/>
        </w:rPr>
        <w:t xml:space="preserve"> </w:t>
      </w:r>
      <w:r w:rsidRPr="0006508F">
        <w:rPr>
          <w:rFonts w:ascii="Lato" w:hAnsi="Lato"/>
          <w:i/>
          <w:sz w:val="24"/>
          <w:szCs w:val="24"/>
        </w:rPr>
        <w:t>eunuchs</w:t>
      </w:r>
      <w:r w:rsidRPr="0006508F">
        <w:rPr>
          <w:rFonts w:ascii="Lato" w:hAnsi="Lato"/>
          <w:sz w:val="24"/>
          <w:szCs w:val="24"/>
        </w:rPr>
        <w:t>”</w:t>
      </w:r>
      <w:r w:rsidR="009B5E1C" w:rsidRPr="0006508F">
        <w:rPr>
          <w:rFonts w:ascii="Lato" w:hAnsi="Lato"/>
          <w:sz w:val="24"/>
          <w:szCs w:val="24"/>
        </w:rPr>
        <w:t xml:space="preserve">. </w:t>
      </w:r>
      <w:r w:rsidRPr="0006508F">
        <w:rPr>
          <w:rFonts w:ascii="Lato" w:hAnsi="Lato"/>
          <w:sz w:val="24"/>
          <w:szCs w:val="24"/>
        </w:rPr>
        <w:t xml:space="preserve">This is </w:t>
      </w:r>
      <w:r w:rsidR="009B5E1C" w:rsidRPr="0006508F">
        <w:rPr>
          <w:rFonts w:ascii="Lato" w:hAnsi="Lato"/>
          <w:sz w:val="24"/>
          <w:szCs w:val="24"/>
        </w:rPr>
        <w:t xml:space="preserve">stated in </w:t>
      </w:r>
      <w:proofErr w:type="spellStart"/>
      <w:r w:rsidRPr="0006508F">
        <w:rPr>
          <w:rFonts w:ascii="Lato" w:hAnsi="Lato"/>
          <w:sz w:val="24"/>
          <w:szCs w:val="24"/>
        </w:rPr>
        <w:t>in</w:t>
      </w:r>
      <w:proofErr w:type="spellEnd"/>
      <w:r w:rsidRPr="0006508F">
        <w:rPr>
          <w:rFonts w:ascii="Lato" w:hAnsi="Lato"/>
          <w:sz w:val="24"/>
          <w:szCs w:val="24"/>
        </w:rPr>
        <w:t xml:space="preserve"> the first of the nine directives laid down by the Supreme Court. However, the second directive</w:t>
      </w:r>
      <w:r w:rsidRPr="0006508F">
        <w:rPr>
          <w:rStyle w:val="FootnoteReference"/>
          <w:rFonts w:ascii="Lato" w:hAnsi="Lato"/>
          <w:sz w:val="24"/>
          <w:szCs w:val="24"/>
        </w:rPr>
        <w:footnoteReference w:id="8"/>
      </w:r>
      <w:r w:rsidRPr="0006508F">
        <w:rPr>
          <w:rFonts w:ascii="Lato" w:hAnsi="Lato"/>
          <w:sz w:val="24"/>
          <w:szCs w:val="24"/>
        </w:rPr>
        <w:t xml:space="preserve"> upheld the right of </w:t>
      </w:r>
      <w:r w:rsidRPr="0006508F">
        <w:rPr>
          <w:rFonts w:ascii="Lato" w:hAnsi="Lato"/>
          <w:sz w:val="24"/>
          <w:szCs w:val="24"/>
        </w:rPr>
        <w:lastRenderedPageBreak/>
        <w:t>transgender persons to self-identify as male, female or third gender and directed the Central and State Governments to grant legal recognition of their gender identity.</w:t>
      </w:r>
      <w:r w:rsidRPr="0006508F">
        <w:rPr>
          <w:rStyle w:val="FootnoteReference"/>
          <w:rFonts w:ascii="Lato" w:hAnsi="Lato"/>
          <w:sz w:val="24"/>
          <w:szCs w:val="24"/>
        </w:rPr>
        <w:footnoteReference w:id="9"/>
      </w:r>
      <w:r w:rsidRPr="0006508F">
        <w:rPr>
          <w:rFonts w:ascii="Lato" w:hAnsi="Lato"/>
          <w:sz w:val="24"/>
          <w:szCs w:val="24"/>
        </w:rPr>
        <w:t xml:space="preserve"> </w:t>
      </w:r>
    </w:p>
    <w:p w:rsidR="009B5E1C" w:rsidRPr="0006508F" w:rsidRDefault="00806997" w:rsidP="009B5E1C">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On a clarification sought by the Ministry of Social Justice and Empowerment on whether the term ‘transgender’ covers gay, lesbian and bisexual persons or is restricted only to those commonly known as “</w:t>
      </w:r>
      <w:proofErr w:type="spellStart"/>
      <w:r w:rsidRPr="0006508F">
        <w:rPr>
          <w:rFonts w:ascii="Lato" w:hAnsi="Lato" w:cs="Times New Roman"/>
          <w:i/>
          <w:sz w:val="24"/>
          <w:szCs w:val="24"/>
        </w:rPr>
        <w:t>hijras</w:t>
      </w:r>
      <w:proofErr w:type="spellEnd"/>
      <w:r w:rsidRPr="0006508F">
        <w:rPr>
          <w:rFonts w:ascii="Lato" w:hAnsi="Lato" w:cs="Times New Roman"/>
          <w:sz w:val="24"/>
          <w:szCs w:val="24"/>
        </w:rPr>
        <w:t>/</w:t>
      </w:r>
      <w:r w:rsidRPr="0006508F">
        <w:rPr>
          <w:rFonts w:ascii="Lato" w:hAnsi="Lato" w:cs="Times New Roman"/>
          <w:i/>
          <w:sz w:val="24"/>
          <w:szCs w:val="24"/>
        </w:rPr>
        <w:t>eunuchs</w:t>
      </w:r>
      <w:r w:rsidRPr="0006508F">
        <w:rPr>
          <w:rFonts w:ascii="Lato" w:hAnsi="Lato" w:cs="Times New Roman"/>
          <w:sz w:val="24"/>
          <w:szCs w:val="24"/>
        </w:rPr>
        <w:t>”</w:t>
      </w:r>
      <w:r w:rsidRPr="0006508F">
        <w:rPr>
          <w:rStyle w:val="FootnoteReference"/>
          <w:rFonts w:ascii="Lato" w:hAnsi="Lato" w:cs="Times New Roman"/>
          <w:sz w:val="24"/>
          <w:szCs w:val="24"/>
        </w:rPr>
        <w:footnoteReference w:id="10"/>
      </w:r>
      <w:r w:rsidRPr="0006508F">
        <w:rPr>
          <w:rFonts w:ascii="Lato" w:hAnsi="Lato" w:cs="Times New Roman"/>
          <w:sz w:val="24"/>
          <w:szCs w:val="24"/>
        </w:rPr>
        <w:t>, the Supreme Court held that this issue had been amply clarified in the judgment itself.</w:t>
      </w:r>
      <w:r w:rsidRPr="0006508F">
        <w:rPr>
          <w:rStyle w:val="FootnoteReference"/>
          <w:rFonts w:ascii="Lato" w:hAnsi="Lato" w:cs="Times New Roman"/>
          <w:sz w:val="24"/>
          <w:szCs w:val="24"/>
        </w:rPr>
        <w:footnoteReference w:id="11"/>
      </w:r>
      <w:r w:rsidRPr="0006508F">
        <w:rPr>
          <w:rFonts w:ascii="Lato" w:hAnsi="Lato" w:cs="Times New Roman"/>
          <w:sz w:val="24"/>
          <w:szCs w:val="24"/>
        </w:rPr>
        <w:t xml:space="preserve"> </w:t>
      </w:r>
      <w:r w:rsidR="009B5E1C" w:rsidRPr="0006508F">
        <w:rPr>
          <w:rFonts w:ascii="Lato" w:hAnsi="Lato" w:cs="Times New Roman"/>
          <w:sz w:val="24"/>
          <w:szCs w:val="24"/>
        </w:rPr>
        <w:t xml:space="preserve"> </w:t>
      </w:r>
    </w:p>
    <w:p w:rsidR="00B80C64" w:rsidRPr="0006508F" w:rsidRDefault="00806997" w:rsidP="009B5E1C">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 xml:space="preserve">The issue of identification is relevant </w:t>
      </w:r>
      <w:r w:rsidR="009B5E1C" w:rsidRPr="0006508F">
        <w:rPr>
          <w:rFonts w:ascii="Lato" w:hAnsi="Lato" w:cs="Times New Roman"/>
          <w:sz w:val="24"/>
          <w:szCs w:val="24"/>
        </w:rPr>
        <w:t>for reservations, which should be put in place. W</w:t>
      </w:r>
      <w:r w:rsidRPr="0006508F">
        <w:rPr>
          <w:rFonts w:ascii="Lato" w:hAnsi="Lato" w:cs="Times New Roman"/>
          <w:sz w:val="24"/>
          <w:szCs w:val="24"/>
        </w:rPr>
        <w:t xml:space="preserve">hile </w:t>
      </w:r>
      <w:r w:rsidR="009B5E1C" w:rsidRPr="0006508F">
        <w:rPr>
          <w:rFonts w:ascii="Lato" w:hAnsi="Lato" w:cs="Times New Roman"/>
          <w:i/>
          <w:sz w:val="24"/>
          <w:szCs w:val="24"/>
        </w:rPr>
        <w:t>NALSA</w:t>
      </w:r>
      <w:r w:rsidR="009B5E1C" w:rsidRPr="0006508F">
        <w:rPr>
          <w:rFonts w:ascii="Lato" w:hAnsi="Lato" w:cs="Times New Roman"/>
          <w:sz w:val="24"/>
          <w:szCs w:val="24"/>
        </w:rPr>
        <w:t xml:space="preserve"> guarantees the right to </w:t>
      </w:r>
      <w:r w:rsidRPr="0006508F">
        <w:rPr>
          <w:rFonts w:ascii="Lato" w:hAnsi="Lato" w:cs="Times New Roman"/>
          <w:sz w:val="24"/>
          <w:szCs w:val="24"/>
        </w:rPr>
        <w:t xml:space="preserve">self-identification of </w:t>
      </w:r>
      <w:r w:rsidR="009B5E1C" w:rsidRPr="0006508F">
        <w:rPr>
          <w:rFonts w:ascii="Lato" w:hAnsi="Lato" w:cs="Times New Roman"/>
          <w:sz w:val="24"/>
          <w:szCs w:val="24"/>
        </w:rPr>
        <w:t xml:space="preserve">one’s </w:t>
      </w:r>
      <w:r w:rsidRPr="0006508F">
        <w:rPr>
          <w:rFonts w:ascii="Lato" w:hAnsi="Lato" w:cs="Times New Roman"/>
          <w:sz w:val="24"/>
          <w:szCs w:val="24"/>
        </w:rPr>
        <w:t xml:space="preserve">gender as male, female or </w:t>
      </w:r>
      <w:r w:rsidR="009B5E1C" w:rsidRPr="0006508F">
        <w:rPr>
          <w:rFonts w:ascii="Lato" w:hAnsi="Lato" w:cs="Times New Roman"/>
          <w:sz w:val="24"/>
          <w:szCs w:val="24"/>
        </w:rPr>
        <w:t>trans</w:t>
      </w:r>
      <w:r w:rsidRPr="0006508F">
        <w:rPr>
          <w:rFonts w:ascii="Lato" w:hAnsi="Lato" w:cs="Times New Roman"/>
          <w:sz w:val="24"/>
          <w:szCs w:val="24"/>
        </w:rPr>
        <w:t>gender</w:t>
      </w:r>
      <w:r w:rsidR="009B5E1C" w:rsidRPr="0006508F">
        <w:rPr>
          <w:rFonts w:ascii="Lato" w:hAnsi="Lato" w:cs="Times New Roman"/>
          <w:sz w:val="24"/>
          <w:szCs w:val="24"/>
        </w:rPr>
        <w:t xml:space="preserve">, it </w:t>
      </w:r>
      <w:r w:rsidRPr="0006508F">
        <w:rPr>
          <w:rFonts w:ascii="Lato" w:hAnsi="Lato" w:cs="Times New Roman"/>
          <w:sz w:val="24"/>
          <w:szCs w:val="24"/>
        </w:rPr>
        <w:t>did not lay down a self-identification mechanism</w:t>
      </w:r>
      <w:r w:rsidR="009B5E1C" w:rsidRPr="0006508F">
        <w:rPr>
          <w:rFonts w:ascii="Lato" w:hAnsi="Lato" w:cs="Times New Roman"/>
          <w:sz w:val="24"/>
          <w:szCs w:val="24"/>
        </w:rPr>
        <w:t xml:space="preserve">. This </w:t>
      </w:r>
      <w:r w:rsidRPr="0006508F">
        <w:rPr>
          <w:rFonts w:ascii="Lato" w:hAnsi="Lato" w:cs="Times New Roman"/>
          <w:sz w:val="24"/>
          <w:szCs w:val="24"/>
        </w:rPr>
        <w:t>lack of clarity has opened doors for inconsistencies in practices among States with regard to self-identification</w:t>
      </w:r>
      <w:r w:rsidR="009B5E1C" w:rsidRPr="0006508F">
        <w:rPr>
          <w:rFonts w:ascii="Lato" w:hAnsi="Lato" w:cs="Times New Roman"/>
          <w:sz w:val="24"/>
          <w:szCs w:val="24"/>
        </w:rPr>
        <w:t>.</w:t>
      </w:r>
      <w:r w:rsidR="00B80C64" w:rsidRPr="0006508F">
        <w:rPr>
          <w:rFonts w:ascii="Lato" w:hAnsi="Lato" w:cs="Times New Roman"/>
          <w:sz w:val="24"/>
          <w:szCs w:val="24"/>
        </w:rPr>
        <w:t xml:space="preserve"> For instance, Chhattisgarh has established a Third Gender Welfare Board which is tasked with issuing identity cards, similar to the Karnataka and Kerala transgender policies. The identity cards issued may then be used to effect changes in name and gender markers in other identity documents.</w:t>
      </w:r>
      <w:r w:rsidR="00B80C64" w:rsidRPr="0006508F">
        <w:rPr>
          <w:rStyle w:val="FootnoteReference"/>
          <w:rFonts w:ascii="Lato" w:hAnsi="Lato" w:cs="Times New Roman"/>
          <w:sz w:val="24"/>
          <w:szCs w:val="24"/>
        </w:rPr>
        <w:footnoteReference w:id="12"/>
      </w:r>
      <w:r w:rsidR="00B80C64" w:rsidRPr="0006508F">
        <w:rPr>
          <w:rFonts w:ascii="Lato" w:hAnsi="Lato" w:cs="Times New Roman"/>
          <w:sz w:val="24"/>
          <w:szCs w:val="24"/>
        </w:rPr>
        <w:t xml:space="preserve"> On the other hand, in West Bengal, it has also been observed that in West Bengal, documentation of the sex reassignment surgery is required for publishing a change of gender in the Official Gazette, despite the directions in </w:t>
      </w:r>
      <w:r w:rsidR="00B80C64" w:rsidRPr="0006508F">
        <w:rPr>
          <w:rFonts w:ascii="Lato" w:hAnsi="Lato" w:cs="Times New Roman"/>
          <w:i/>
          <w:sz w:val="24"/>
          <w:szCs w:val="24"/>
        </w:rPr>
        <w:t>NALSA</w:t>
      </w:r>
      <w:r w:rsidR="00B80C64" w:rsidRPr="0006508F">
        <w:rPr>
          <w:rFonts w:ascii="Lato" w:hAnsi="Lato" w:cs="Times New Roman"/>
          <w:sz w:val="24"/>
          <w:szCs w:val="24"/>
        </w:rPr>
        <w:t xml:space="preserve"> doing away with the need for SRS for self-identification of gender.</w:t>
      </w:r>
      <w:r w:rsidRPr="0006508F">
        <w:rPr>
          <w:rStyle w:val="FootnoteReference"/>
          <w:rFonts w:ascii="Lato" w:hAnsi="Lato" w:cs="Times New Roman"/>
          <w:sz w:val="24"/>
          <w:szCs w:val="24"/>
        </w:rPr>
        <w:footnoteReference w:id="13"/>
      </w:r>
      <w:r w:rsidR="009B5E1C" w:rsidRPr="0006508F">
        <w:rPr>
          <w:rFonts w:ascii="Lato" w:hAnsi="Lato" w:cs="Times New Roman"/>
          <w:sz w:val="24"/>
          <w:szCs w:val="24"/>
        </w:rPr>
        <w:t xml:space="preserve"> </w:t>
      </w:r>
    </w:p>
    <w:p w:rsidR="00B80C64" w:rsidRPr="0006508F" w:rsidRDefault="00B80C64" w:rsidP="00B80C64">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rPr>
        <w:t xml:space="preserve"> </w:t>
      </w:r>
      <w:r w:rsidRPr="0006508F">
        <w:rPr>
          <w:rFonts w:ascii="Lato" w:hAnsi="Lato" w:cs="Times New Roman"/>
          <w:sz w:val="24"/>
          <w:szCs w:val="24"/>
          <w:lang w:val="en-GB"/>
        </w:rPr>
        <w:t>A</w:t>
      </w:r>
      <w:r w:rsidR="00E8587B" w:rsidRPr="0006508F">
        <w:rPr>
          <w:rFonts w:ascii="Lato" w:hAnsi="Lato" w:cs="Times New Roman"/>
          <w:sz w:val="24"/>
          <w:szCs w:val="24"/>
          <w:lang w:val="en-GB"/>
        </w:rPr>
        <w:t xml:space="preserve">ll these </w:t>
      </w:r>
      <w:r w:rsidRPr="0006508F">
        <w:rPr>
          <w:rFonts w:ascii="Lato" w:hAnsi="Lato" w:cs="Times New Roman"/>
          <w:sz w:val="24"/>
          <w:szCs w:val="24"/>
          <w:lang w:val="en-GB"/>
        </w:rPr>
        <w:t xml:space="preserve">attempts </w:t>
      </w:r>
      <w:r w:rsidR="00E8587B" w:rsidRPr="0006508F">
        <w:rPr>
          <w:rFonts w:ascii="Lato" w:hAnsi="Lato" w:cs="Times New Roman"/>
          <w:sz w:val="24"/>
          <w:szCs w:val="24"/>
          <w:lang w:val="en-GB"/>
        </w:rPr>
        <w:t xml:space="preserve">have </w:t>
      </w:r>
      <w:r w:rsidR="00806997" w:rsidRPr="0006508F">
        <w:rPr>
          <w:rFonts w:ascii="Lato" w:hAnsi="Lato" w:cs="Times New Roman"/>
          <w:sz w:val="24"/>
          <w:szCs w:val="24"/>
          <w:lang w:val="en-GB"/>
        </w:rPr>
        <w:t>tend</w:t>
      </w:r>
      <w:r w:rsidR="00E8587B" w:rsidRPr="0006508F">
        <w:rPr>
          <w:rFonts w:ascii="Lato" w:hAnsi="Lato" w:cs="Times New Roman"/>
          <w:sz w:val="24"/>
          <w:szCs w:val="24"/>
          <w:lang w:val="en-GB"/>
        </w:rPr>
        <w:t>ed</w:t>
      </w:r>
      <w:r w:rsidR="00806997" w:rsidRPr="0006508F">
        <w:rPr>
          <w:rFonts w:ascii="Lato" w:hAnsi="Lato" w:cs="Times New Roman"/>
          <w:sz w:val="24"/>
          <w:szCs w:val="24"/>
          <w:lang w:val="en-GB"/>
        </w:rPr>
        <w:t xml:space="preserve"> to entail the constitution of a board of medical officers, psychologists/psychiatrists, social welfare officers, government officials and members of the transgender community</w:t>
      </w:r>
      <w:r w:rsidRPr="0006508F">
        <w:rPr>
          <w:rFonts w:ascii="Lato" w:hAnsi="Lato" w:cs="Times New Roman"/>
          <w:sz w:val="24"/>
          <w:szCs w:val="24"/>
          <w:lang w:val="en-GB"/>
        </w:rPr>
        <w:t xml:space="preserve"> for issuing identity cards to transgender persons. In examining the experience and challenges of having identity cards issued to any community, such as in the case of persons with disabilities, where obtaining a disability card has been extremely difficult, bureaucratic and excluding, making reservations dependant on identity cards for transgender persons would not be </w:t>
      </w:r>
      <w:r w:rsidRPr="0006508F">
        <w:rPr>
          <w:rFonts w:ascii="Lato" w:hAnsi="Lato" w:cs="Times New Roman"/>
          <w:sz w:val="24"/>
          <w:szCs w:val="24"/>
          <w:lang w:val="en-GB"/>
        </w:rPr>
        <w:lastRenderedPageBreak/>
        <w:t xml:space="preserve">recommended. </w:t>
      </w:r>
      <w:r w:rsidRPr="0006508F">
        <w:rPr>
          <w:rFonts w:ascii="Lato" w:hAnsi="Lato" w:cs="Times New Roman"/>
          <w:sz w:val="24"/>
          <w:szCs w:val="24"/>
        </w:rPr>
        <w:t xml:space="preserve">In a </w:t>
      </w:r>
      <w:r w:rsidR="00806997" w:rsidRPr="0006508F">
        <w:rPr>
          <w:rFonts w:ascii="Lato" w:hAnsi="Lato" w:cs="Times New Roman"/>
          <w:sz w:val="24"/>
          <w:szCs w:val="24"/>
        </w:rPr>
        <w:t xml:space="preserve">self-identification framework, </w:t>
      </w:r>
      <w:r w:rsidR="00830970" w:rsidRPr="0006508F">
        <w:rPr>
          <w:rFonts w:ascii="Lato" w:hAnsi="Lato" w:cs="Times New Roman"/>
          <w:sz w:val="24"/>
          <w:szCs w:val="24"/>
        </w:rPr>
        <w:t xml:space="preserve">reservations </w:t>
      </w:r>
      <w:r w:rsidRPr="0006508F">
        <w:rPr>
          <w:rFonts w:ascii="Lato" w:hAnsi="Lato" w:cs="Times New Roman"/>
          <w:sz w:val="24"/>
          <w:szCs w:val="24"/>
        </w:rPr>
        <w:t xml:space="preserve">cannot be limited and </w:t>
      </w:r>
      <w:r w:rsidR="00830970" w:rsidRPr="0006508F">
        <w:rPr>
          <w:rFonts w:ascii="Lato" w:hAnsi="Lato" w:cs="Times New Roman"/>
          <w:sz w:val="24"/>
          <w:szCs w:val="24"/>
        </w:rPr>
        <w:t>must extend to all transgender persons irrespective of whether they identify as male, female or any other gender based only on the possession of a transgender identity card issued by an authority established under a statute</w:t>
      </w:r>
      <w:r w:rsidRPr="0006508F">
        <w:rPr>
          <w:rFonts w:ascii="Lato" w:hAnsi="Lato" w:cs="Times New Roman"/>
          <w:sz w:val="24"/>
          <w:szCs w:val="24"/>
        </w:rPr>
        <w:t>.</w:t>
      </w:r>
    </w:p>
    <w:p w:rsidR="00806997" w:rsidRPr="0006508F" w:rsidRDefault="00B80C64" w:rsidP="00B80C64">
      <w:pPr>
        <w:pStyle w:val="ListParagraph"/>
        <w:spacing w:after="0" w:line="360" w:lineRule="auto"/>
        <w:ind w:left="0" w:firstLine="720"/>
        <w:contextualSpacing w:val="0"/>
        <w:jc w:val="both"/>
        <w:rPr>
          <w:rFonts w:ascii="Lato" w:hAnsi="Lato" w:cs="Times New Roman"/>
          <w:sz w:val="24"/>
          <w:szCs w:val="24"/>
        </w:rPr>
      </w:pPr>
      <w:r w:rsidRPr="0006508F">
        <w:rPr>
          <w:rFonts w:ascii="Lato" w:hAnsi="Lato" w:cs="Times New Roman"/>
          <w:sz w:val="24"/>
          <w:szCs w:val="24"/>
        </w:rPr>
        <w:t xml:space="preserve"> </w:t>
      </w:r>
      <w:r w:rsidR="00830970" w:rsidRPr="0006508F">
        <w:rPr>
          <w:rFonts w:ascii="Lato" w:hAnsi="Lato" w:cs="Times New Roman"/>
          <w:sz w:val="24"/>
          <w:szCs w:val="24"/>
        </w:rPr>
        <w:t>The issue of who will issue such</w:t>
      </w:r>
      <w:r w:rsidR="00882482" w:rsidRPr="0006508F">
        <w:rPr>
          <w:rFonts w:ascii="Lato" w:hAnsi="Lato" w:cs="Times New Roman"/>
          <w:sz w:val="24"/>
          <w:szCs w:val="24"/>
        </w:rPr>
        <w:t xml:space="preserve"> transgender</w:t>
      </w:r>
      <w:r w:rsidR="00830970" w:rsidRPr="0006508F">
        <w:rPr>
          <w:rFonts w:ascii="Lato" w:hAnsi="Lato" w:cs="Times New Roman"/>
          <w:sz w:val="24"/>
          <w:szCs w:val="24"/>
        </w:rPr>
        <w:t xml:space="preserve"> identification cards will be addressed in the next section on the legal basis for reservations.</w:t>
      </w:r>
    </w:p>
    <w:p w:rsidR="000E2ECE" w:rsidRPr="0006508F" w:rsidRDefault="000E2ECE" w:rsidP="000E2ECE">
      <w:pPr>
        <w:pStyle w:val="ListParagraph"/>
        <w:spacing w:after="0" w:line="360" w:lineRule="auto"/>
        <w:contextualSpacing w:val="0"/>
        <w:jc w:val="both"/>
        <w:rPr>
          <w:rFonts w:ascii="Lato" w:hAnsi="Lato" w:cs="Times New Roman"/>
          <w:sz w:val="24"/>
          <w:szCs w:val="24"/>
        </w:rPr>
      </w:pPr>
    </w:p>
    <w:p w:rsidR="00B80C64" w:rsidRPr="0006508F" w:rsidRDefault="00B80C64" w:rsidP="000E2ECE">
      <w:pPr>
        <w:pStyle w:val="ListParagraph"/>
        <w:spacing w:after="0" w:line="360" w:lineRule="auto"/>
        <w:contextualSpacing w:val="0"/>
        <w:jc w:val="both"/>
        <w:rPr>
          <w:rFonts w:ascii="Lato" w:hAnsi="Lato" w:cs="Times New Roman"/>
          <w:sz w:val="24"/>
          <w:szCs w:val="24"/>
        </w:rPr>
      </w:pPr>
    </w:p>
    <w:p w:rsidR="00295764" w:rsidRPr="0006508F" w:rsidRDefault="00295764" w:rsidP="00B80C64">
      <w:pPr>
        <w:pStyle w:val="ListParagraph"/>
        <w:numPr>
          <w:ilvl w:val="0"/>
          <w:numId w:val="15"/>
        </w:numPr>
        <w:spacing w:after="0" w:line="360" w:lineRule="auto"/>
        <w:ind w:left="567" w:hanging="567"/>
        <w:contextualSpacing w:val="0"/>
        <w:jc w:val="center"/>
        <w:rPr>
          <w:rFonts w:ascii="Lato" w:hAnsi="Lato" w:cs="Times New Roman"/>
          <w:b/>
          <w:smallCaps/>
          <w:sz w:val="24"/>
          <w:szCs w:val="24"/>
        </w:rPr>
      </w:pPr>
      <w:r w:rsidRPr="0006508F">
        <w:rPr>
          <w:rFonts w:ascii="Lato" w:hAnsi="Lato" w:cs="Times New Roman"/>
          <w:b/>
          <w:smallCaps/>
          <w:sz w:val="24"/>
          <w:szCs w:val="24"/>
        </w:rPr>
        <w:t>Legal basis for Reservations for Transgender Persons: How should it be implemented?</w:t>
      </w:r>
    </w:p>
    <w:p w:rsidR="00B80C64" w:rsidRPr="0006508F" w:rsidRDefault="00B80C64" w:rsidP="00B80C64">
      <w:pPr>
        <w:pStyle w:val="ListParagraph"/>
        <w:spacing w:after="0" w:line="360" w:lineRule="auto"/>
        <w:ind w:left="567"/>
        <w:contextualSpacing w:val="0"/>
        <w:rPr>
          <w:rFonts w:ascii="Lato" w:hAnsi="Lato" w:cs="Times New Roman"/>
          <w:b/>
          <w:smallCaps/>
          <w:sz w:val="24"/>
          <w:szCs w:val="24"/>
        </w:rPr>
      </w:pPr>
    </w:p>
    <w:p w:rsidR="00A55CA7" w:rsidRPr="0006508F" w:rsidRDefault="000E2ECE" w:rsidP="00A55CA7">
      <w:pPr>
        <w:spacing w:after="0" w:line="360" w:lineRule="auto"/>
        <w:ind w:firstLine="810"/>
        <w:jc w:val="both"/>
        <w:rPr>
          <w:rFonts w:ascii="Lato" w:hAnsi="Lato" w:cs="Times New Roman"/>
          <w:sz w:val="24"/>
          <w:szCs w:val="24"/>
        </w:rPr>
      </w:pPr>
      <w:r w:rsidRPr="0006508F">
        <w:rPr>
          <w:rFonts w:ascii="Lato" w:hAnsi="Lato" w:cs="Times New Roman"/>
          <w:sz w:val="24"/>
          <w:szCs w:val="24"/>
        </w:rPr>
        <w:t xml:space="preserve">Having considered who can access reservations in educational institutions and public employment, the </w:t>
      </w:r>
      <w:r w:rsidR="00B80C64" w:rsidRPr="0006508F">
        <w:rPr>
          <w:rFonts w:ascii="Lato" w:hAnsi="Lato" w:cs="Times New Roman"/>
          <w:sz w:val="24"/>
          <w:szCs w:val="24"/>
        </w:rPr>
        <w:t xml:space="preserve">next </w:t>
      </w:r>
      <w:r w:rsidRPr="0006508F">
        <w:rPr>
          <w:rFonts w:ascii="Lato" w:hAnsi="Lato" w:cs="Times New Roman"/>
          <w:sz w:val="24"/>
          <w:szCs w:val="24"/>
        </w:rPr>
        <w:t xml:space="preserve">question is whether reservations should be implemented by the Union or the respective States through a legislative </w:t>
      </w:r>
      <w:r w:rsidR="00B80C64" w:rsidRPr="0006508F">
        <w:rPr>
          <w:rFonts w:ascii="Lato" w:hAnsi="Lato" w:cs="Times New Roman"/>
          <w:sz w:val="24"/>
          <w:szCs w:val="24"/>
        </w:rPr>
        <w:t xml:space="preserve">enactment </w:t>
      </w:r>
      <w:r w:rsidRPr="0006508F">
        <w:rPr>
          <w:rFonts w:ascii="Lato" w:hAnsi="Lato" w:cs="Times New Roman"/>
          <w:sz w:val="24"/>
          <w:szCs w:val="24"/>
        </w:rPr>
        <w:t xml:space="preserve">or </w:t>
      </w:r>
      <w:r w:rsidR="00B80C64" w:rsidRPr="0006508F">
        <w:rPr>
          <w:rFonts w:ascii="Lato" w:hAnsi="Lato" w:cs="Times New Roman"/>
          <w:sz w:val="24"/>
          <w:szCs w:val="24"/>
        </w:rPr>
        <w:t xml:space="preserve">by </w:t>
      </w:r>
      <w:r w:rsidRPr="0006508F">
        <w:rPr>
          <w:rFonts w:ascii="Lato" w:hAnsi="Lato" w:cs="Times New Roman"/>
          <w:sz w:val="24"/>
          <w:szCs w:val="24"/>
        </w:rPr>
        <w:t xml:space="preserve">an executive order. While the Union may provide for reservations in public employment for posts that are under its control, reservations in State posts fall entirely within the domain of the individual States. </w:t>
      </w:r>
      <w:r w:rsidR="00B80C64" w:rsidRPr="0006508F">
        <w:rPr>
          <w:rFonts w:ascii="Lato" w:hAnsi="Lato" w:cs="Times New Roman"/>
          <w:sz w:val="24"/>
          <w:szCs w:val="24"/>
        </w:rPr>
        <w:t xml:space="preserve"> </w:t>
      </w:r>
    </w:p>
    <w:p w:rsidR="00A55CA7" w:rsidRPr="0006508F" w:rsidRDefault="00B80C64" w:rsidP="00A55CA7">
      <w:pPr>
        <w:spacing w:after="0" w:line="360" w:lineRule="auto"/>
        <w:ind w:firstLine="810"/>
        <w:jc w:val="both"/>
        <w:rPr>
          <w:rFonts w:ascii="Lato" w:hAnsi="Lato" w:cs="Times New Roman"/>
          <w:sz w:val="24"/>
          <w:szCs w:val="24"/>
        </w:rPr>
      </w:pPr>
      <w:r w:rsidRPr="0006508F">
        <w:rPr>
          <w:rFonts w:ascii="Lato" w:hAnsi="Lato" w:cs="Times New Roman"/>
          <w:sz w:val="24"/>
          <w:szCs w:val="24"/>
        </w:rPr>
        <w:t xml:space="preserve"> </w:t>
      </w:r>
      <w:r w:rsidR="00A27F8E" w:rsidRPr="0006508F">
        <w:rPr>
          <w:rFonts w:ascii="Lato" w:hAnsi="Lato" w:cs="Times New Roman"/>
          <w:sz w:val="24"/>
          <w:szCs w:val="24"/>
        </w:rPr>
        <w:t>T</w:t>
      </w:r>
      <w:r w:rsidR="00295764" w:rsidRPr="0006508F">
        <w:rPr>
          <w:rFonts w:ascii="Lato" w:hAnsi="Lato" w:cs="Times New Roman"/>
          <w:sz w:val="24"/>
          <w:szCs w:val="24"/>
        </w:rPr>
        <w:t>he history of reservations on the basis of ‘caste’ in India reveals that reservations in educational institutions and public employment have traditionally been implemented by executive order</w:t>
      </w:r>
      <w:r w:rsidR="00A55CA7" w:rsidRPr="0006508F">
        <w:rPr>
          <w:rFonts w:ascii="Lato" w:hAnsi="Lato" w:cs="Times New Roman"/>
          <w:sz w:val="24"/>
          <w:szCs w:val="24"/>
        </w:rPr>
        <w:t>s</w:t>
      </w:r>
      <w:r w:rsidR="00295764" w:rsidRPr="0006508F">
        <w:rPr>
          <w:rFonts w:ascii="Lato" w:hAnsi="Lato" w:cs="Times New Roman"/>
          <w:sz w:val="24"/>
          <w:szCs w:val="24"/>
        </w:rPr>
        <w:t xml:space="preserve">. </w:t>
      </w:r>
      <w:r w:rsidR="00A27F8E" w:rsidRPr="0006508F">
        <w:rPr>
          <w:rFonts w:ascii="Lato" w:hAnsi="Lato" w:cs="Times New Roman"/>
          <w:sz w:val="24"/>
          <w:szCs w:val="24"/>
        </w:rPr>
        <w:t xml:space="preserve">However, we suggest that a central legislation recognising reservations for transgender persons must </w:t>
      </w:r>
      <w:r w:rsidR="004656CE" w:rsidRPr="0006508F">
        <w:rPr>
          <w:rFonts w:ascii="Lato" w:hAnsi="Lato" w:cs="Times New Roman"/>
          <w:sz w:val="24"/>
          <w:szCs w:val="24"/>
        </w:rPr>
        <w:t xml:space="preserve">first be </w:t>
      </w:r>
      <w:r w:rsidR="00A27F8E" w:rsidRPr="0006508F">
        <w:rPr>
          <w:rFonts w:ascii="Lato" w:hAnsi="Lato" w:cs="Times New Roman"/>
          <w:sz w:val="24"/>
          <w:szCs w:val="24"/>
        </w:rPr>
        <w:t>enacted, supported by executive actions as required.</w:t>
      </w:r>
      <w:r w:rsidR="000E2ECE" w:rsidRPr="0006508F">
        <w:rPr>
          <w:rFonts w:ascii="Lato" w:hAnsi="Lato" w:cs="Times New Roman"/>
          <w:sz w:val="24"/>
          <w:szCs w:val="24"/>
        </w:rPr>
        <w:t xml:space="preserve"> </w:t>
      </w:r>
      <w:r w:rsidR="0023222B" w:rsidRPr="0006508F">
        <w:rPr>
          <w:rFonts w:ascii="Lato" w:hAnsi="Lato" w:cs="Times New Roman"/>
          <w:sz w:val="24"/>
          <w:szCs w:val="24"/>
          <w:lang w:val="en-GB"/>
        </w:rPr>
        <w:t xml:space="preserve">There are two compelling reasons for enacting a </w:t>
      </w:r>
      <w:r w:rsidR="00EB0D0D" w:rsidRPr="0006508F">
        <w:rPr>
          <w:rFonts w:ascii="Lato" w:hAnsi="Lato" w:cs="Times New Roman"/>
          <w:sz w:val="24"/>
          <w:szCs w:val="24"/>
          <w:lang w:val="en-GB"/>
        </w:rPr>
        <w:t xml:space="preserve">single </w:t>
      </w:r>
      <w:r w:rsidR="0023222B" w:rsidRPr="0006508F">
        <w:rPr>
          <w:rFonts w:ascii="Lato" w:hAnsi="Lato" w:cs="Times New Roman"/>
          <w:sz w:val="24"/>
          <w:szCs w:val="24"/>
          <w:lang w:val="en-GB"/>
        </w:rPr>
        <w:t>central legislation providing for reservations for transgender persons.</w:t>
      </w:r>
      <w:r w:rsidR="00EB0D0D" w:rsidRPr="0006508F">
        <w:rPr>
          <w:rFonts w:ascii="Lato" w:hAnsi="Lato" w:cs="Times New Roman"/>
          <w:sz w:val="24"/>
          <w:szCs w:val="24"/>
          <w:lang w:val="en-GB"/>
        </w:rPr>
        <w:t xml:space="preserve"> </w:t>
      </w:r>
      <w:r w:rsidR="00EB0D0D" w:rsidRPr="0006508F">
        <w:rPr>
          <w:rFonts w:ascii="Lato" w:hAnsi="Lato" w:cs="Times New Roman"/>
          <w:i/>
          <w:sz w:val="24"/>
          <w:szCs w:val="24"/>
          <w:lang w:val="en-GB"/>
        </w:rPr>
        <w:t>First</w:t>
      </w:r>
      <w:r w:rsidR="00EB0D0D" w:rsidRPr="0006508F">
        <w:rPr>
          <w:rFonts w:ascii="Lato" w:hAnsi="Lato" w:cs="Times New Roman"/>
          <w:sz w:val="24"/>
          <w:szCs w:val="24"/>
          <w:lang w:val="en-GB"/>
        </w:rPr>
        <w:t xml:space="preserve">, a single legislation helps avoid widespread change and easy rollback of efforts and </w:t>
      </w:r>
      <w:r w:rsidR="00EB0D0D" w:rsidRPr="0006508F">
        <w:rPr>
          <w:rFonts w:ascii="Lato" w:hAnsi="Lato" w:cs="Times New Roman"/>
          <w:i/>
          <w:sz w:val="24"/>
          <w:szCs w:val="24"/>
          <w:lang w:val="en-GB"/>
        </w:rPr>
        <w:t>second</w:t>
      </w:r>
      <w:r w:rsidR="00EB0D0D" w:rsidRPr="0006508F">
        <w:rPr>
          <w:rFonts w:ascii="Lato" w:hAnsi="Lato" w:cs="Times New Roman"/>
          <w:sz w:val="24"/>
          <w:szCs w:val="24"/>
          <w:lang w:val="en-GB"/>
        </w:rPr>
        <w:t>, it similarly bind</w:t>
      </w:r>
      <w:r w:rsidR="0062316B" w:rsidRPr="0006508F">
        <w:rPr>
          <w:rFonts w:ascii="Lato" w:hAnsi="Lato" w:cs="Times New Roman"/>
          <w:sz w:val="24"/>
          <w:szCs w:val="24"/>
          <w:lang w:val="en-GB"/>
        </w:rPr>
        <w:t>s both the Union and the State Governments.</w:t>
      </w:r>
    </w:p>
    <w:p w:rsidR="00A55CA7" w:rsidRPr="0006508F" w:rsidRDefault="00607BC6" w:rsidP="00A55CA7">
      <w:pPr>
        <w:spacing w:after="0" w:line="360" w:lineRule="auto"/>
        <w:ind w:firstLine="810"/>
        <w:jc w:val="both"/>
        <w:rPr>
          <w:rFonts w:ascii="Lato" w:hAnsi="Lato" w:cs="Times New Roman"/>
          <w:sz w:val="24"/>
          <w:szCs w:val="24"/>
          <w:lang w:val="en-GB"/>
        </w:rPr>
      </w:pPr>
      <w:r w:rsidRPr="0006508F">
        <w:rPr>
          <w:rFonts w:ascii="Lato" w:hAnsi="Lato" w:cs="Times New Roman"/>
          <w:sz w:val="24"/>
          <w:szCs w:val="24"/>
          <w:lang w:val="en-GB"/>
        </w:rPr>
        <w:t xml:space="preserve">The </w:t>
      </w:r>
      <w:proofErr w:type="gramStart"/>
      <w:r w:rsidRPr="0006508F">
        <w:rPr>
          <w:rFonts w:ascii="Lato" w:hAnsi="Lato" w:cs="Times New Roman"/>
          <w:sz w:val="24"/>
          <w:szCs w:val="24"/>
          <w:lang w:val="en-GB"/>
        </w:rPr>
        <w:t>merits</w:t>
      </w:r>
      <w:proofErr w:type="gramEnd"/>
      <w:r w:rsidRPr="0006508F">
        <w:rPr>
          <w:rFonts w:ascii="Lato" w:hAnsi="Lato" w:cs="Times New Roman"/>
          <w:sz w:val="24"/>
          <w:szCs w:val="24"/>
          <w:lang w:val="en-GB"/>
        </w:rPr>
        <w:t xml:space="preserve"> of a comprehensive</w:t>
      </w:r>
      <w:r w:rsidR="005728F5" w:rsidRPr="0006508F">
        <w:rPr>
          <w:rFonts w:ascii="Lato" w:hAnsi="Lato" w:cs="Times New Roman"/>
          <w:sz w:val="24"/>
          <w:szCs w:val="24"/>
          <w:lang w:val="en-GB"/>
        </w:rPr>
        <w:t xml:space="preserve"> central</w:t>
      </w:r>
      <w:r w:rsidRPr="0006508F">
        <w:rPr>
          <w:rFonts w:ascii="Lato" w:hAnsi="Lato" w:cs="Times New Roman"/>
          <w:sz w:val="24"/>
          <w:szCs w:val="24"/>
          <w:lang w:val="en-GB"/>
        </w:rPr>
        <w:t xml:space="preserve"> statute which clearly defines the scope of the stable group entitled to reservation, and enumerates a minimum quota of reservations is evident</w:t>
      </w:r>
      <w:r w:rsidR="00594593" w:rsidRPr="0006508F">
        <w:rPr>
          <w:rFonts w:ascii="Lato" w:hAnsi="Lato" w:cs="Times New Roman"/>
          <w:sz w:val="24"/>
          <w:szCs w:val="24"/>
          <w:lang w:val="en-GB"/>
        </w:rPr>
        <w:t xml:space="preserve"> from the experience of providing reservations for persons with disabilities</w:t>
      </w:r>
      <w:r w:rsidRPr="0006508F">
        <w:rPr>
          <w:rFonts w:ascii="Lato" w:hAnsi="Lato" w:cs="Times New Roman"/>
          <w:sz w:val="24"/>
          <w:szCs w:val="24"/>
          <w:lang w:val="en-GB"/>
        </w:rPr>
        <w:t>.</w:t>
      </w:r>
      <w:r w:rsidRPr="0006508F">
        <w:rPr>
          <w:rStyle w:val="FootnoteReference"/>
          <w:rFonts w:ascii="Lato" w:hAnsi="Lato" w:cs="Times New Roman"/>
          <w:sz w:val="24"/>
          <w:szCs w:val="24"/>
          <w:lang w:val="en-GB"/>
        </w:rPr>
        <w:footnoteReference w:id="14"/>
      </w:r>
      <w:r w:rsidRPr="0006508F">
        <w:rPr>
          <w:rFonts w:ascii="Lato" w:hAnsi="Lato" w:cs="Times New Roman"/>
          <w:sz w:val="24"/>
          <w:szCs w:val="24"/>
          <w:lang w:val="en-GB"/>
        </w:rPr>
        <w:t xml:space="preserve"> The </w:t>
      </w:r>
      <w:r w:rsidR="00594593" w:rsidRPr="0006508F">
        <w:rPr>
          <w:rFonts w:ascii="Lato" w:hAnsi="Lato" w:cs="Times New Roman"/>
          <w:sz w:val="24"/>
          <w:szCs w:val="24"/>
          <w:lang w:val="en-GB"/>
        </w:rPr>
        <w:t>Rights of Persons with Disabilities Act (RPD), 2016 imposes</w:t>
      </w:r>
      <w:r w:rsidR="00A9639A" w:rsidRPr="0006508F">
        <w:rPr>
          <w:rFonts w:ascii="Lato" w:hAnsi="Lato" w:cs="Times New Roman"/>
          <w:sz w:val="24"/>
          <w:szCs w:val="24"/>
          <w:lang w:val="en-GB"/>
        </w:rPr>
        <w:t xml:space="preserve"> an obligation to all S</w:t>
      </w:r>
      <w:r w:rsidRPr="0006508F">
        <w:rPr>
          <w:rFonts w:ascii="Lato" w:hAnsi="Lato" w:cs="Times New Roman"/>
          <w:sz w:val="24"/>
          <w:szCs w:val="24"/>
          <w:lang w:val="en-GB"/>
        </w:rPr>
        <w:t>tates to meet a minimum quota of 5% for persons wit</w:t>
      </w:r>
      <w:r w:rsidR="00A9639A" w:rsidRPr="0006508F">
        <w:rPr>
          <w:rFonts w:ascii="Lato" w:hAnsi="Lato" w:cs="Times New Roman"/>
          <w:sz w:val="24"/>
          <w:szCs w:val="24"/>
          <w:lang w:val="en-GB"/>
        </w:rPr>
        <w:t>h disabilities</w:t>
      </w:r>
      <w:r w:rsidR="00A55CA7" w:rsidRPr="0006508F">
        <w:rPr>
          <w:rFonts w:ascii="Lato" w:hAnsi="Lato" w:cs="Times New Roman"/>
          <w:sz w:val="24"/>
          <w:szCs w:val="24"/>
          <w:lang w:val="en-GB"/>
        </w:rPr>
        <w:t xml:space="preserve"> in </w:t>
      </w:r>
      <w:r w:rsidR="00A55CA7" w:rsidRPr="0006508F">
        <w:rPr>
          <w:rFonts w:ascii="Lato" w:hAnsi="Lato" w:cs="Times New Roman"/>
          <w:sz w:val="24"/>
          <w:szCs w:val="24"/>
          <w:lang w:val="en-GB"/>
        </w:rPr>
        <w:lastRenderedPageBreak/>
        <w:t>public employment</w:t>
      </w:r>
      <w:r w:rsidR="00A9639A" w:rsidRPr="0006508F">
        <w:rPr>
          <w:rFonts w:ascii="Lato" w:hAnsi="Lato" w:cs="Times New Roman"/>
          <w:sz w:val="24"/>
          <w:szCs w:val="24"/>
          <w:lang w:val="en-GB"/>
        </w:rPr>
        <w:t>. Prior to the RP</w:t>
      </w:r>
      <w:r w:rsidRPr="0006508F">
        <w:rPr>
          <w:rFonts w:ascii="Lato" w:hAnsi="Lato" w:cs="Times New Roman"/>
          <w:sz w:val="24"/>
          <w:szCs w:val="24"/>
          <w:lang w:val="en-GB"/>
        </w:rPr>
        <w:t>D Act</w:t>
      </w:r>
      <w:r w:rsidR="00A55CA7" w:rsidRPr="0006508F">
        <w:rPr>
          <w:rFonts w:ascii="Lato" w:hAnsi="Lato" w:cs="Times New Roman"/>
          <w:sz w:val="24"/>
          <w:szCs w:val="24"/>
          <w:lang w:val="en-GB"/>
        </w:rPr>
        <w:t xml:space="preserve"> there was the Persons with Disabilities Act 1996 which provided for 3% reservation of posts in public employment. Prior to the 1996 law </w:t>
      </w:r>
      <w:r w:rsidRPr="0006508F">
        <w:rPr>
          <w:rFonts w:ascii="Lato" w:hAnsi="Lato" w:cs="Times New Roman"/>
          <w:sz w:val="24"/>
          <w:szCs w:val="24"/>
          <w:lang w:val="en-GB"/>
        </w:rPr>
        <w:t>only a few state policies had addressed reservations</w:t>
      </w:r>
      <w:r w:rsidR="000E2ECE" w:rsidRPr="0006508F">
        <w:rPr>
          <w:rFonts w:ascii="Lato" w:hAnsi="Lato" w:cs="Times New Roman"/>
          <w:sz w:val="24"/>
          <w:szCs w:val="24"/>
          <w:lang w:val="en-GB"/>
        </w:rPr>
        <w:t>,</w:t>
      </w:r>
      <w:r w:rsidR="0023222B" w:rsidRPr="0006508F">
        <w:rPr>
          <w:rFonts w:ascii="Lato" w:hAnsi="Lato" w:cs="Times New Roman"/>
          <w:sz w:val="24"/>
          <w:szCs w:val="24"/>
          <w:lang w:val="en-GB"/>
        </w:rPr>
        <w:t xml:space="preserve"> which </w:t>
      </w:r>
      <w:r w:rsidRPr="0006508F">
        <w:rPr>
          <w:rFonts w:ascii="Lato" w:hAnsi="Lato" w:cs="Times New Roman"/>
          <w:sz w:val="24"/>
          <w:szCs w:val="24"/>
          <w:lang w:val="en-GB"/>
        </w:rPr>
        <w:t>were not comprehensive in their definitions of disability.</w:t>
      </w:r>
      <w:r w:rsidR="00826497" w:rsidRPr="0006508F">
        <w:rPr>
          <w:rFonts w:ascii="Lato" w:hAnsi="Lato" w:cs="Times New Roman"/>
          <w:sz w:val="24"/>
          <w:szCs w:val="24"/>
          <w:lang w:val="en-GB"/>
        </w:rPr>
        <w:t xml:space="preserve"> </w:t>
      </w:r>
      <w:r w:rsidR="0023222B" w:rsidRPr="0006508F">
        <w:rPr>
          <w:rFonts w:ascii="Lato" w:hAnsi="Lato" w:cs="Times New Roman"/>
          <w:sz w:val="24"/>
          <w:szCs w:val="24"/>
          <w:lang w:val="en-GB"/>
        </w:rPr>
        <w:t>T</w:t>
      </w:r>
      <w:r w:rsidR="00826497" w:rsidRPr="0006508F">
        <w:rPr>
          <w:rFonts w:ascii="Lato" w:hAnsi="Lato" w:cs="Times New Roman"/>
          <w:sz w:val="24"/>
          <w:szCs w:val="24"/>
          <w:lang w:val="en-GB"/>
        </w:rPr>
        <w:t xml:space="preserve">he </w:t>
      </w:r>
      <w:r w:rsidR="00A55CA7" w:rsidRPr="0006508F">
        <w:rPr>
          <w:rFonts w:ascii="Lato" w:hAnsi="Lato" w:cs="Times New Roman"/>
          <w:sz w:val="24"/>
          <w:szCs w:val="24"/>
          <w:lang w:val="en-GB"/>
        </w:rPr>
        <w:t xml:space="preserve">PWD Act and </w:t>
      </w:r>
      <w:r w:rsidR="00826497" w:rsidRPr="0006508F">
        <w:rPr>
          <w:rFonts w:ascii="Lato" w:hAnsi="Lato" w:cs="Times New Roman"/>
          <w:sz w:val="24"/>
          <w:szCs w:val="24"/>
          <w:lang w:val="en-GB"/>
        </w:rPr>
        <w:t>RP</w:t>
      </w:r>
      <w:r w:rsidRPr="0006508F">
        <w:rPr>
          <w:rFonts w:ascii="Lato" w:hAnsi="Lato" w:cs="Times New Roman"/>
          <w:sz w:val="24"/>
          <w:szCs w:val="24"/>
          <w:lang w:val="en-GB"/>
        </w:rPr>
        <w:t xml:space="preserve">D Act </w:t>
      </w:r>
      <w:r w:rsidR="00A55CA7" w:rsidRPr="0006508F">
        <w:rPr>
          <w:rFonts w:ascii="Lato" w:hAnsi="Lato" w:cs="Times New Roman"/>
          <w:sz w:val="24"/>
          <w:szCs w:val="24"/>
          <w:lang w:val="en-GB"/>
        </w:rPr>
        <w:t xml:space="preserve">were </w:t>
      </w:r>
      <w:r w:rsidRPr="0006508F">
        <w:rPr>
          <w:rFonts w:ascii="Lato" w:hAnsi="Lato" w:cs="Times New Roman"/>
          <w:sz w:val="24"/>
          <w:szCs w:val="24"/>
          <w:lang w:val="en-GB"/>
        </w:rPr>
        <w:t xml:space="preserve">crucial in bringing uniformity across the country by imposing obligations on all </w:t>
      </w:r>
      <w:r w:rsidR="00826497" w:rsidRPr="0006508F">
        <w:rPr>
          <w:rFonts w:ascii="Lato" w:hAnsi="Lato" w:cs="Times New Roman"/>
          <w:sz w:val="24"/>
          <w:szCs w:val="24"/>
          <w:lang w:val="en-GB"/>
        </w:rPr>
        <w:t>S</w:t>
      </w:r>
      <w:r w:rsidRPr="0006508F">
        <w:rPr>
          <w:rFonts w:ascii="Lato" w:hAnsi="Lato" w:cs="Times New Roman"/>
          <w:sz w:val="24"/>
          <w:szCs w:val="24"/>
          <w:lang w:val="en-GB"/>
        </w:rPr>
        <w:t xml:space="preserve">tates </w:t>
      </w:r>
      <w:r w:rsidR="00826497" w:rsidRPr="0006508F">
        <w:rPr>
          <w:rFonts w:ascii="Lato" w:hAnsi="Lato" w:cs="Times New Roman"/>
          <w:sz w:val="24"/>
          <w:szCs w:val="24"/>
          <w:lang w:val="en-GB"/>
        </w:rPr>
        <w:t xml:space="preserve">to develop reservation policies and meet the </w:t>
      </w:r>
      <w:r w:rsidR="00A55CA7" w:rsidRPr="0006508F">
        <w:rPr>
          <w:rFonts w:ascii="Lato" w:hAnsi="Lato" w:cs="Times New Roman"/>
          <w:sz w:val="24"/>
          <w:szCs w:val="24"/>
          <w:lang w:val="en-GB"/>
        </w:rPr>
        <w:t xml:space="preserve">minimum </w:t>
      </w:r>
      <w:r w:rsidR="00826497" w:rsidRPr="0006508F">
        <w:rPr>
          <w:rFonts w:ascii="Lato" w:hAnsi="Lato" w:cs="Times New Roman"/>
          <w:sz w:val="24"/>
          <w:szCs w:val="24"/>
          <w:lang w:val="en-GB"/>
        </w:rPr>
        <w:t>quota.</w:t>
      </w:r>
      <w:r w:rsidR="0023222B" w:rsidRPr="0006508F">
        <w:rPr>
          <w:rFonts w:ascii="Lato" w:hAnsi="Lato" w:cs="Times New Roman"/>
          <w:sz w:val="24"/>
          <w:szCs w:val="24"/>
          <w:lang w:val="en-GB"/>
        </w:rPr>
        <w:t xml:space="preserve"> </w:t>
      </w:r>
    </w:p>
    <w:p w:rsidR="00607BC6" w:rsidRPr="0006508F" w:rsidRDefault="00607BC6" w:rsidP="00A55CA7">
      <w:pPr>
        <w:spacing w:after="0" w:line="360" w:lineRule="auto"/>
        <w:ind w:firstLine="810"/>
        <w:jc w:val="both"/>
        <w:rPr>
          <w:rFonts w:ascii="Lato" w:hAnsi="Lato" w:cs="Times New Roman"/>
          <w:sz w:val="24"/>
          <w:szCs w:val="24"/>
        </w:rPr>
      </w:pPr>
      <w:r w:rsidRPr="0006508F">
        <w:rPr>
          <w:rFonts w:ascii="Lato" w:hAnsi="Lato" w:cs="Times New Roman"/>
          <w:sz w:val="24"/>
          <w:szCs w:val="24"/>
        </w:rPr>
        <w:t>Reservations for transgender persons c</w:t>
      </w:r>
      <w:r w:rsidR="00DE4242" w:rsidRPr="0006508F">
        <w:rPr>
          <w:rFonts w:ascii="Lato" w:hAnsi="Lato" w:cs="Times New Roman"/>
          <w:sz w:val="24"/>
          <w:szCs w:val="24"/>
        </w:rPr>
        <w:t>an</w:t>
      </w:r>
      <w:r w:rsidR="00721376" w:rsidRPr="0006508F">
        <w:rPr>
          <w:rFonts w:ascii="Lato" w:hAnsi="Lato" w:cs="Times New Roman"/>
          <w:sz w:val="24"/>
          <w:szCs w:val="24"/>
        </w:rPr>
        <w:t xml:space="preserve"> also</w:t>
      </w:r>
      <w:r w:rsidR="00DE4242" w:rsidRPr="0006508F">
        <w:rPr>
          <w:rFonts w:ascii="Lato" w:hAnsi="Lato" w:cs="Times New Roman"/>
          <w:sz w:val="24"/>
          <w:szCs w:val="24"/>
        </w:rPr>
        <w:t xml:space="preserve"> be implemented </w:t>
      </w:r>
      <w:r w:rsidR="00721376" w:rsidRPr="0006508F">
        <w:rPr>
          <w:rFonts w:ascii="Lato" w:hAnsi="Lato" w:cs="Times New Roman"/>
          <w:sz w:val="24"/>
          <w:szCs w:val="24"/>
        </w:rPr>
        <w:t xml:space="preserve">in this manner. The central statute should </w:t>
      </w:r>
      <w:r w:rsidRPr="0006508F">
        <w:rPr>
          <w:rFonts w:ascii="Lato" w:hAnsi="Lato" w:cs="Times New Roman"/>
          <w:sz w:val="24"/>
          <w:szCs w:val="24"/>
        </w:rPr>
        <w:t>define “transgender persons”, recognise the right to self-identificat</w:t>
      </w:r>
      <w:r w:rsidR="00B43F3D" w:rsidRPr="0006508F">
        <w:rPr>
          <w:rFonts w:ascii="Lato" w:hAnsi="Lato" w:cs="Times New Roman"/>
          <w:sz w:val="24"/>
          <w:szCs w:val="24"/>
        </w:rPr>
        <w:t>ion of gender identity and fix</w:t>
      </w:r>
      <w:r w:rsidRPr="0006508F">
        <w:rPr>
          <w:rFonts w:ascii="Lato" w:hAnsi="Lato" w:cs="Times New Roman"/>
          <w:sz w:val="24"/>
          <w:szCs w:val="24"/>
        </w:rPr>
        <w:t xml:space="preserve"> the quota for reservation.</w:t>
      </w:r>
      <w:r w:rsidR="0023222B" w:rsidRPr="0006508F">
        <w:rPr>
          <w:rFonts w:ascii="Lato" w:hAnsi="Lato" w:cs="Times New Roman"/>
          <w:sz w:val="24"/>
          <w:szCs w:val="24"/>
        </w:rPr>
        <w:t xml:space="preserve"> This would ensure uniformity in action across the country and bring together the various State policies</w:t>
      </w:r>
      <w:r w:rsidR="0023222B" w:rsidRPr="0006508F">
        <w:rPr>
          <w:rStyle w:val="FootnoteReference"/>
          <w:rFonts w:ascii="Lato" w:hAnsi="Lato" w:cs="Times New Roman"/>
          <w:sz w:val="24"/>
          <w:szCs w:val="24"/>
          <w:lang w:val="en-GB"/>
        </w:rPr>
        <w:footnoteReference w:id="15"/>
      </w:r>
      <w:r w:rsidR="0023222B" w:rsidRPr="0006508F">
        <w:rPr>
          <w:rFonts w:ascii="Lato" w:hAnsi="Lato" w:cs="Times New Roman"/>
          <w:sz w:val="24"/>
          <w:szCs w:val="24"/>
        </w:rPr>
        <w:t xml:space="preserve"> in favour of transgender persons have been drafted thus far.</w:t>
      </w:r>
      <w:r w:rsidRPr="0006508F">
        <w:rPr>
          <w:rFonts w:ascii="Lato" w:hAnsi="Lato" w:cs="Times New Roman"/>
          <w:sz w:val="24"/>
          <w:szCs w:val="24"/>
        </w:rPr>
        <w:t xml:space="preserve"> A statute providing for reservations for transgender persons may </w:t>
      </w:r>
      <w:r w:rsidR="00A55CA7" w:rsidRPr="0006508F">
        <w:rPr>
          <w:rFonts w:ascii="Lato" w:hAnsi="Lato" w:cs="Times New Roman"/>
          <w:sz w:val="24"/>
          <w:szCs w:val="24"/>
        </w:rPr>
        <w:t>include the following:</w:t>
      </w:r>
    </w:p>
    <w:p w:rsidR="00607BC6" w:rsidRPr="0006508F" w:rsidRDefault="00A55CA7" w:rsidP="00A55CA7">
      <w:pPr>
        <w:pStyle w:val="ListParagraph"/>
        <w:numPr>
          <w:ilvl w:val="0"/>
          <w:numId w:val="12"/>
        </w:numPr>
        <w:spacing w:after="0" w:line="360" w:lineRule="auto"/>
        <w:jc w:val="both"/>
        <w:rPr>
          <w:rFonts w:ascii="Lato" w:hAnsi="Lato" w:cs="Times New Roman"/>
          <w:sz w:val="24"/>
          <w:szCs w:val="24"/>
        </w:rPr>
      </w:pPr>
      <w:r w:rsidRPr="0006508F">
        <w:rPr>
          <w:rFonts w:ascii="Lato" w:hAnsi="Lato" w:cs="Times New Roman"/>
          <w:sz w:val="24"/>
          <w:szCs w:val="24"/>
        </w:rPr>
        <w:t xml:space="preserve">Laying down a </w:t>
      </w:r>
      <w:r w:rsidR="00607BC6" w:rsidRPr="0006508F">
        <w:rPr>
          <w:rFonts w:ascii="Lato" w:hAnsi="Lato" w:cs="Times New Roman"/>
          <w:sz w:val="24"/>
          <w:szCs w:val="24"/>
        </w:rPr>
        <w:t>process of self-identification of gender identity</w:t>
      </w:r>
      <w:r w:rsidRPr="0006508F">
        <w:rPr>
          <w:rFonts w:ascii="Lato" w:hAnsi="Lato" w:cs="Times New Roman"/>
          <w:sz w:val="24"/>
          <w:szCs w:val="24"/>
        </w:rPr>
        <w:t xml:space="preserve">, with or without medical reassignment. </w:t>
      </w:r>
    </w:p>
    <w:p w:rsidR="00A55CA7" w:rsidRPr="0006508F" w:rsidRDefault="00A55CA7" w:rsidP="00A55CA7">
      <w:pPr>
        <w:pStyle w:val="ListParagraph"/>
        <w:numPr>
          <w:ilvl w:val="0"/>
          <w:numId w:val="12"/>
        </w:numPr>
        <w:spacing w:after="0" w:line="360" w:lineRule="auto"/>
        <w:jc w:val="both"/>
        <w:rPr>
          <w:rFonts w:ascii="Lato" w:hAnsi="Lato" w:cs="Times New Roman"/>
          <w:sz w:val="24"/>
          <w:szCs w:val="24"/>
          <w:lang w:val="en-GB"/>
        </w:rPr>
      </w:pPr>
      <w:r w:rsidRPr="0006508F">
        <w:rPr>
          <w:rFonts w:ascii="Lato" w:hAnsi="Lato" w:cs="Times New Roman"/>
          <w:sz w:val="24"/>
          <w:szCs w:val="24"/>
        </w:rPr>
        <w:t>Giving a minimum percenta</w:t>
      </w:r>
      <w:r w:rsidR="001345FD" w:rsidRPr="0006508F">
        <w:rPr>
          <w:rFonts w:ascii="Lato" w:hAnsi="Lato" w:cs="Times New Roman"/>
          <w:sz w:val="24"/>
          <w:szCs w:val="24"/>
        </w:rPr>
        <w:t>ge of seats that would be reser</w:t>
      </w:r>
      <w:r w:rsidRPr="0006508F">
        <w:rPr>
          <w:rFonts w:ascii="Lato" w:hAnsi="Lato" w:cs="Times New Roman"/>
          <w:sz w:val="24"/>
          <w:szCs w:val="24"/>
        </w:rPr>
        <w:t>v</w:t>
      </w:r>
      <w:r w:rsidR="001345FD" w:rsidRPr="0006508F">
        <w:rPr>
          <w:rFonts w:ascii="Lato" w:hAnsi="Lato" w:cs="Times New Roman"/>
          <w:sz w:val="24"/>
          <w:szCs w:val="24"/>
        </w:rPr>
        <w:t>e</w:t>
      </w:r>
      <w:r w:rsidRPr="0006508F">
        <w:rPr>
          <w:rFonts w:ascii="Lato" w:hAnsi="Lato" w:cs="Times New Roman"/>
          <w:sz w:val="24"/>
          <w:szCs w:val="24"/>
        </w:rPr>
        <w:t xml:space="preserve">d </w:t>
      </w:r>
      <w:r w:rsidRPr="0006508F">
        <w:rPr>
          <w:rFonts w:ascii="Lato" w:hAnsi="Lato" w:cs="Times New Roman"/>
          <w:sz w:val="24"/>
          <w:szCs w:val="24"/>
          <w:lang w:val="en-GB"/>
        </w:rPr>
        <w:t xml:space="preserve">in educational institutions and the percentage of posts reserved in public employment.  </w:t>
      </w:r>
    </w:p>
    <w:p w:rsidR="000A5824" w:rsidRPr="0006508F" w:rsidRDefault="00A55CA7" w:rsidP="00A55CA7">
      <w:pPr>
        <w:pStyle w:val="ListParagraph"/>
        <w:spacing w:after="0" w:line="360" w:lineRule="auto"/>
        <w:ind w:left="0" w:right="-22" w:firstLine="810"/>
        <w:contextualSpacing w:val="0"/>
        <w:jc w:val="both"/>
        <w:rPr>
          <w:rFonts w:ascii="Lato" w:hAnsi="Lato" w:cs="Times New Roman"/>
          <w:i/>
          <w:sz w:val="24"/>
          <w:szCs w:val="24"/>
          <w:lang w:val="en-GB"/>
        </w:rPr>
      </w:pPr>
      <w:r w:rsidRPr="0006508F">
        <w:rPr>
          <w:rFonts w:ascii="Lato" w:hAnsi="Lato" w:cs="Times New Roman"/>
          <w:sz w:val="24"/>
          <w:szCs w:val="24"/>
          <w:lang w:val="en-GB"/>
        </w:rPr>
        <w:t xml:space="preserve">Such legislation would </w:t>
      </w:r>
      <w:r w:rsidR="00607BC6" w:rsidRPr="0006508F">
        <w:rPr>
          <w:rFonts w:ascii="Lato" w:hAnsi="Lato" w:cs="Times New Roman"/>
          <w:sz w:val="24"/>
          <w:szCs w:val="24"/>
          <w:lang w:val="en-GB"/>
        </w:rPr>
        <w:t>place the</w:t>
      </w:r>
      <w:r w:rsidR="003211A6" w:rsidRPr="0006508F">
        <w:rPr>
          <w:rFonts w:ascii="Lato" w:hAnsi="Lato" w:cs="Times New Roman"/>
          <w:sz w:val="24"/>
          <w:szCs w:val="24"/>
          <w:lang w:val="en-GB"/>
        </w:rPr>
        <w:t xml:space="preserve"> onus on </w:t>
      </w:r>
      <w:r w:rsidRPr="0006508F">
        <w:rPr>
          <w:rFonts w:ascii="Lato" w:hAnsi="Lato" w:cs="Times New Roman"/>
          <w:sz w:val="24"/>
          <w:szCs w:val="24"/>
          <w:lang w:val="en-GB"/>
        </w:rPr>
        <w:t xml:space="preserve">the central government </w:t>
      </w:r>
      <w:r w:rsidR="00607BC6" w:rsidRPr="0006508F">
        <w:rPr>
          <w:rFonts w:ascii="Lato" w:hAnsi="Lato" w:cs="Times New Roman"/>
          <w:sz w:val="24"/>
          <w:szCs w:val="24"/>
          <w:lang w:val="en-GB"/>
        </w:rPr>
        <w:t xml:space="preserve">to develop </w:t>
      </w:r>
      <w:r w:rsidRPr="0006508F">
        <w:rPr>
          <w:rFonts w:ascii="Lato" w:hAnsi="Lato" w:cs="Times New Roman"/>
          <w:sz w:val="24"/>
          <w:szCs w:val="24"/>
          <w:lang w:val="en-GB"/>
        </w:rPr>
        <w:t xml:space="preserve">a framework for </w:t>
      </w:r>
      <w:r w:rsidR="00607BC6" w:rsidRPr="0006508F">
        <w:rPr>
          <w:rFonts w:ascii="Lato" w:hAnsi="Lato" w:cs="Times New Roman"/>
          <w:sz w:val="24"/>
          <w:szCs w:val="24"/>
          <w:lang w:val="en-GB"/>
        </w:rPr>
        <w:t xml:space="preserve">transgender persons </w:t>
      </w:r>
      <w:r w:rsidRPr="0006508F">
        <w:rPr>
          <w:rFonts w:ascii="Lato" w:hAnsi="Lato" w:cs="Times New Roman"/>
          <w:sz w:val="24"/>
          <w:szCs w:val="24"/>
          <w:lang w:val="en-GB"/>
        </w:rPr>
        <w:t xml:space="preserve">to self-identify themselves, thus making them </w:t>
      </w:r>
      <w:r w:rsidR="00607BC6" w:rsidRPr="0006508F">
        <w:rPr>
          <w:rFonts w:ascii="Lato" w:hAnsi="Lato" w:cs="Times New Roman"/>
          <w:sz w:val="24"/>
          <w:szCs w:val="24"/>
          <w:lang w:val="en-GB"/>
        </w:rPr>
        <w:t xml:space="preserve">eligible for reservations </w:t>
      </w:r>
      <w:r w:rsidRPr="0006508F">
        <w:rPr>
          <w:rFonts w:ascii="Lato" w:hAnsi="Lato" w:cs="Times New Roman"/>
          <w:sz w:val="24"/>
          <w:szCs w:val="24"/>
          <w:lang w:val="en-GB"/>
        </w:rPr>
        <w:t xml:space="preserve">instead of </w:t>
      </w:r>
      <w:r w:rsidR="00607BC6" w:rsidRPr="0006508F">
        <w:rPr>
          <w:rFonts w:ascii="Lato" w:hAnsi="Lato" w:cs="Times New Roman"/>
          <w:sz w:val="24"/>
          <w:szCs w:val="24"/>
          <w:lang w:val="en-GB"/>
        </w:rPr>
        <w:t>haphazard and inconsistent practices across the country.</w:t>
      </w:r>
      <w:r w:rsidRPr="0006508F">
        <w:rPr>
          <w:rStyle w:val="FootnoteReference"/>
          <w:rFonts w:ascii="Lato" w:hAnsi="Lato" w:cs="Times New Roman"/>
          <w:sz w:val="24"/>
          <w:szCs w:val="24"/>
          <w:lang w:val="en-GB"/>
        </w:rPr>
        <w:t xml:space="preserve"> </w:t>
      </w:r>
      <w:r w:rsidR="00110908" w:rsidRPr="0006508F">
        <w:rPr>
          <w:rFonts w:ascii="Lato" w:hAnsi="Lato" w:cs="Times New Roman"/>
          <w:sz w:val="24"/>
          <w:szCs w:val="24"/>
          <w:lang w:val="en-GB"/>
        </w:rPr>
        <w:t>It is likely that permitting S</w:t>
      </w:r>
      <w:r w:rsidR="00607BC6" w:rsidRPr="0006508F">
        <w:rPr>
          <w:rFonts w:ascii="Lato" w:hAnsi="Lato" w:cs="Times New Roman"/>
          <w:sz w:val="24"/>
          <w:szCs w:val="24"/>
          <w:lang w:val="en-GB"/>
        </w:rPr>
        <w:t>tates to frame their own processes of identification</w:t>
      </w:r>
      <w:r w:rsidR="005F276A" w:rsidRPr="0006508F">
        <w:rPr>
          <w:rFonts w:ascii="Lato" w:hAnsi="Lato" w:cs="Times New Roman"/>
          <w:sz w:val="24"/>
          <w:szCs w:val="24"/>
          <w:lang w:val="en-GB"/>
        </w:rPr>
        <w:t xml:space="preserve"> may lead to some S</w:t>
      </w:r>
      <w:r w:rsidR="00607BC6" w:rsidRPr="0006508F">
        <w:rPr>
          <w:rFonts w:ascii="Lato" w:hAnsi="Lato" w:cs="Times New Roman"/>
          <w:sz w:val="24"/>
          <w:szCs w:val="24"/>
          <w:lang w:val="en-GB"/>
        </w:rPr>
        <w:t xml:space="preserve">tates </w:t>
      </w:r>
      <w:r w:rsidR="005F276A" w:rsidRPr="0006508F">
        <w:rPr>
          <w:rFonts w:ascii="Lato" w:hAnsi="Lato" w:cs="Times New Roman"/>
          <w:sz w:val="24"/>
          <w:szCs w:val="24"/>
          <w:lang w:val="en-GB"/>
        </w:rPr>
        <w:t xml:space="preserve">placing </w:t>
      </w:r>
      <w:r w:rsidR="00607BC6" w:rsidRPr="0006508F">
        <w:rPr>
          <w:rFonts w:ascii="Lato" w:hAnsi="Lato" w:cs="Times New Roman"/>
          <w:sz w:val="24"/>
          <w:szCs w:val="24"/>
          <w:lang w:val="en-GB"/>
        </w:rPr>
        <w:t xml:space="preserve">more onerous conditions to be fulfilled to secure </w:t>
      </w:r>
      <w:r w:rsidR="005F276A" w:rsidRPr="0006508F">
        <w:rPr>
          <w:rFonts w:ascii="Lato" w:hAnsi="Lato" w:cs="Times New Roman"/>
          <w:sz w:val="24"/>
          <w:szCs w:val="24"/>
          <w:lang w:val="en-GB"/>
        </w:rPr>
        <w:t>‘</w:t>
      </w:r>
      <w:r w:rsidR="00607BC6" w:rsidRPr="0006508F">
        <w:rPr>
          <w:rFonts w:ascii="Lato" w:hAnsi="Lato" w:cs="Times New Roman"/>
          <w:sz w:val="24"/>
          <w:szCs w:val="24"/>
          <w:lang w:val="en-GB"/>
        </w:rPr>
        <w:t>transgender</w:t>
      </w:r>
      <w:r w:rsidR="009B42FA" w:rsidRPr="0006508F">
        <w:rPr>
          <w:rFonts w:ascii="Lato" w:hAnsi="Lato" w:cs="Times New Roman"/>
          <w:sz w:val="24"/>
          <w:szCs w:val="24"/>
          <w:lang w:val="en-GB"/>
        </w:rPr>
        <w:t>’</w:t>
      </w:r>
      <w:r w:rsidR="00607BC6" w:rsidRPr="0006508F">
        <w:rPr>
          <w:rFonts w:ascii="Lato" w:hAnsi="Lato" w:cs="Times New Roman"/>
          <w:sz w:val="24"/>
          <w:szCs w:val="24"/>
          <w:lang w:val="en-GB"/>
        </w:rPr>
        <w:t xml:space="preserve"> status</w:t>
      </w:r>
      <w:r w:rsidRPr="0006508F">
        <w:rPr>
          <w:rFonts w:ascii="Lato" w:hAnsi="Lato" w:cs="Times New Roman"/>
          <w:sz w:val="24"/>
          <w:szCs w:val="24"/>
          <w:lang w:val="en-GB"/>
        </w:rPr>
        <w:t xml:space="preserve"> and would </w:t>
      </w:r>
      <w:r w:rsidR="00E94AE0" w:rsidRPr="0006508F">
        <w:rPr>
          <w:rFonts w:ascii="Lato" w:hAnsi="Lato" w:cs="Times New Roman"/>
          <w:sz w:val="24"/>
          <w:szCs w:val="24"/>
          <w:lang w:val="en-GB"/>
        </w:rPr>
        <w:t xml:space="preserve">restrict the right to self-identification of gender identity recognised in </w:t>
      </w:r>
      <w:r w:rsidR="00E94AE0" w:rsidRPr="0006508F">
        <w:rPr>
          <w:rFonts w:ascii="Lato" w:hAnsi="Lato" w:cs="Times New Roman"/>
          <w:i/>
          <w:sz w:val="24"/>
          <w:szCs w:val="24"/>
          <w:lang w:val="en-GB"/>
        </w:rPr>
        <w:t>NALSA</w:t>
      </w:r>
      <w:r w:rsidRPr="0006508F">
        <w:rPr>
          <w:rFonts w:ascii="Lato" w:hAnsi="Lato" w:cs="Times New Roman"/>
          <w:i/>
          <w:sz w:val="24"/>
          <w:szCs w:val="24"/>
          <w:lang w:val="en-GB"/>
        </w:rPr>
        <w:t xml:space="preserve">.  </w:t>
      </w:r>
      <w:r w:rsidRPr="0006508F">
        <w:rPr>
          <w:rFonts w:ascii="Lato" w:hAnsi="Lato" w:cs="Times New Roman"/>
          <w:sz w:val="24"/>
          <w:szCs w:val="24"/>
          <w:lang w:val="en-GB"/>
        </w:rPr>
        <w:t xml:space="preserve">The statute should uphold the right to self-identification, allowing transgender persons to identify as male, female or third gender and should discard physical and biological examinations which impede the dignity and privacy of transgender persons and are not required as per the </w:t>
      </w:r>
      <w:r w:rsidRPr="0006508F">
        <w:rPr>
          <w:rFonts w:ascii="Lato" w:hAnsi="Lato" w:cs="Times New Roman"/>
          <w:i/>
          <w:sz w:val="24"/>
          <w:szCs w:val="24"/>
          <w:lang w:val="en-GB"/>
        </w:rPr>
        <w:t xml:space="preserve">NALSA </w:t>
      </w:r>
      <w:r w:rsidRPr="0006508F">
        <w:rPr>
          <w:rFonts w:ascii="Lato" w:hAnsi="Lato" w:cs="Times New Roman"/>
          <w:sz w:val="24"/>
          <w:szCs w:val="24"/>
          <w:lang w:val="en-GB"/>
        </w:rPr>
        <w:t xml:space="preserve">judgement. </w:t>
      </w:r>
    </w:p>
    <w:p w:rsidR="00A55CA7" w:rsidRPr="0006508F" w:rsidRDefault="00A55CA7" w:rsidP="00A55CA7">
      <w:pPr>
        <w:pStyle w:val="ListParagraph"/>
        <w:spacing w:after="0" w:line="360" w:lineRule="auto"/>
        <w:ind w:left="0" w:right="-22" w:firstLine="810"/>
        <w:contextualSpacing w:val="0"/>
        <w:jc w:val="both"/>
        <w:rPr>
          <w:rFonts w:ascii="Lato" w:hAnsi="Lato" w:cs="Times New Roman"/>
          <w:i/>
          <w:sz w:val="24"/>
          <w:szCs w:val="24"/>
          <w:lang w:val="en-GB"/>
        </w:rPr>
      </w:pPr>
      <w:r w:rsidRPr="0006508F">
        <w:rPr>
          <w:rFonts w:ascii="Lato" w:hAnsi="Lato" w:cs="Times New Roman"/>
          <w:sz w:val="24"/>
          <w:szCs w:val="24"/>
          <w:lang w:val="en-GB"/>
        </w:rPr>
        <w:t xml:space="preserve">This would also give an opportunity to explore if the </w:t>
      </w:r>
      <w:r w:rsidR="000D7690" w:rsidRPr="0006508F">
        <w:rPr>
          <w:rFonts w:ascii="Lato" w:hAnsi="Lato" w:cs="Times New Roman"/>
          <w:sz w:val="24"/>
          <w:szCs w:val="24"/>
          <w:lang w:val="en-GB"/>
        </w:rPr>
        <w:t>State Transgender Welfare Board</w:t>
      </w:r>
      <w:r w:rsidRPr="0006508F">
        <w:rPr>
          <w:rFonts w:ascii="Lato" w:hAnsi="Lato" w:cs="Times New Roman"/>
          <w:sz w:val="24"/>
          <w:szCs w:val="24"/>
          <w:lang w:val="en-GB"/>
        </w:rPr>
        <w:t xml:space="preserve">s are useful, what their role would be and whether they should issue </w:t>
      </w:r>
      <w:r w:rsidR="00404C69" w:rsidRPr="0006508F">
        <w:rPr>
          <w:rFonts w:ascii="Lato" w:hAnsi="Lato" w:cs="Times New Roman"/>
          <w:sz w:val="24"/>
          <w:szCs w:val="24"/>
          <w:lang w:val="en-GB"/>
        </w:rPr>
        <w:t>identification cards</w:t>
      </w:r>
      <w:r w:rsidRPr="0006508F">
        <w:rPr>
          <w:rFonts w:ascii="Lato" w:hAnsi="Lato" w:cs="Times New Roman"/>
          <w:sz w:val="24"/>
          <w:szCs w:val="24"/>
          <w:lang w:val="en-GB"/>
        </w:rPr>
        <w:t xml:space="preserve">.  </w:t>
      </w:r>
    </w:p>
    <w:p w:rsidR="00607BC6" w:rsidRPr="0006508F" w:rsidRDefault="00A55CA7" w:rsidP="00A55CA7">
      <w:pPr>
        <w:pStyle w:val="ListParagraph"/>
        <w:spacing w:after="0" w:line="360" w:lineRule="auto"/>
        <w:ind w:left="0" w:right="-22" w:firstLine="810"/>
        <w:contextualSpacing w:val="0"/>
        <w:jc w:val="both"/>
        <w:rPr>
          <w:rFonts w:ascii="Lato" w:hAnsi="Lato" w:cs="Times New Roman"/>
          <w:sz w:val="24"/>
          <w:szCs w:val="24"/>
          <w:lang w:val="en-GB"/>
        </w:rPr>
      </w:pPr>
      <w:r w:rsidRPr="0006508F">
        <w:rPr>
          <w:rFonts w:ascii="Lato" w:hAnsi="Lato" w:cs="Times New Roman"/>
          <w:sz w:val="24"/>
          <w:szCs w:val="24"/>
          <w:lang w:val="en-GB"/>
        </w:rPr>
        <w:t xml:space="preserve"> </w:t>
      </w:r>
    </w:p>
    <w:p w:rsidR="000E2ECE" w:rsidRPr="0006508F" w:rsidRDefault="000E2ECE" w:rsidP="000E2ECE">
      <w:pPr>
        <w:pStyle w:val="ListParagraph"/>
        <w:spacing w:after="0" w:line="360" w:lineRule="auto"/>
        <w:ind w:left="567" w:right="-22" w:firstLine="873"/>
        <w:contextualSpacing w:val="0"/>
        <w:jc w:val="both"/>
        <w:rPr>
          <w:rFonts w:ascii="Lato" w:hAnsi="Lato" w:cs="Times New Roman"/>
          <w:sz w:val="24"/>
          <w:szCs w:val="24"/>
          <w:lang w:val="en-GB"/>
        </w:rPr>
      </w:pPr>
    </w:p>
    <w:p w:rsidR="00FA6179" w:rsidRPr="0006508F" w:rsidRDefault="00295764" w:rsidP="00FA6179">
      <w:pPr>
        <w:pStyle w:val="ListParagraph"/>
        <w:numPr>
          <w:ilvl w:val="0"/>
          <w:numId w:val="15"/>
        </w:numPr>
        <w:spacing w:after="0" w:line="360" w:lineRule="auto"/>
        <w:ind w:left="567" w:hanging="567"/>
        <w:contextualSpacing w:val="0"/>
        <w:jc w:val="center"/>
        <w:rPr>
          <w:rFonts w:ascii="Lato" w:hAnsi="Lato" w:cs="Times New Roman"/>
          <w:b/>
          <w:smallCaps/>
          <w:sz w:val="24"/>
          <w:szCs w:val="24"/>
        </w:rPr>
      </w:pPr>
      <w:r w:rsidRPr="0006508F">
        <w:rPr>
          <w:rFonts w:ascii="Lato" w:hAnsi="Lato" w:cs="Times New Roman"/>
          <w:b/>
          <w:smallCaps/>
          <w:sz w:val="24"/>
          <w:szCs w:val="24"/>
        </w:rPr>
        <w:t>Form of Reservations: A case for Horizontal Reservations</w:t>
      </w:r>
      <w:r w:rsidR="003D4859" w:rsidRPr="0006508F">
        <w:rPr>
          <w:rFonts w:ascii="Lato" w:hAnsi="Lato" w:cs="Times New Roman"/>
          <w:b/>
          <w:smallCaps/>
          <w:sz w:val="24"/>
          <w:szCs w:val="24"/>
        </w:rPr>
        <w:t xml:space="preserve"> for Transgender Persons</w:t>
      </w:r>
    </w:p>
    <w:p w:rsidR="000E2ECE" w:rsidRPr="0006508F" w:rsidRDefault="000E2ECE" w:rsidP="00B97259">
      <w:pPr>
        <w:spacing w:after="0" w:line="360" w:lineRule="auto"/>
        <w:jc w:val="both"/>
        <w:rPr>
          <w:rFonts w:ascii="Lato" w:hAnsi="Lato" w:cs="Times New Roman"/>
          <w:sz w:val="24"/>
          <w:szCs w:val="24"/>
        </w:rPr>
      </w:pPr>
    </w:p>
    <w:p w:rsidR="00FA6179" w:rsidRPr="0006508F" w:rsidRDefault="000E2ECE" w:rsidP="00FA6179">
      <w:pPr>
        <w:spacing w:after="0" w:line="360" w:lineRule="auto"/>
        <w:ind w:firstLine="810"/>
        <w:jc w:val="both"/>
        <w:rPr>
          <w:rFonts w:ascii="Lato" w:hAnsi="Lato" w:cs="Times New Roman"/>
          <w:sz w:val="24"/>
          <w:szCs w:val="24"/>
        </w:rPr>
      </w:pPr>
      <w:r w:rsidRPr="0006508F">
        <w:rPr>
          <w:rFonts w:ascii="Lato" w:hAnsi="Lato" w:cs="Times New Roman"/>
          <w:sz w:val="24"/>
          <w:szCs w:val="24"/>
        </w:rPr>
        <w:t>The third issue for resolution is the form that reservations must take. The principal concern here is whether reservations ought to be implemented vertically on the basis of ‘caste’ where transgender persons are categorised as a ‘socially and educationally backward class’, or horizontally on the basis of ‘gender identity’ as an attribute of ‘sex’ under Articles 15 and 16. Associated questions that arise include the extent of quota to be provided, in light of the 50% limit on reservations laid down by the Supreme Court, and whether reservations for transgender persons should extend to promotions.</w:t>
      </w:r>
    </w:p>
    <w:p w:rsidR="00DE4BC8" w:rsidRPr="0006508F" w:rsidRDefault="00577A39" w:rsidP="00DE4BC8">
      <w:pPr>
        <w:spacing w:after="0" w:line="360" w:lineRule="auto"/>
        <w:ind w:firstLine="810"/>
        <w:jc w:val="both"/>
        <w:rPr>
          <w:rFonts w:ascii="Lato" w:hAnsi="Lato" w:cs="Times New Roman"/>
          <w:sz w:val="24"/>
          <w:szCs w:val="24"/>
        </w:rPr>
      </w:pPr>
      <w:r w:rsidRPr="0006508F">
        <w:rPr>
          <w:rFonts w:ascii="Lato" w:hAnsi="Lato" w:cs="Times New Roman"/>
          <w:sz w:val="24"/>
          <w:szCs w:val="24"/>
        </w:rPr>
        <w:t>The basis for permitting special measures like reservations in educational institutions and matters of public employment can be found in Articles 15</w:t>
      </w:r>
      <w:r w:rsidRPr="0006508F">
        <w:rPr>
          <w:rStyle w:val="FootnoteReference"/>
          <w:rFonts w:ascii="Lato" w:hAnsi="Lato" w:cs="Times New Roman"/>
          <w:sz w:val="24"/>
          <w:szCs w:val="24"/>
        </w:rPr>
        <w:footnoteReference w:id="16"/>
      </w:r>
      <w:r w:rsidRPr="0006508F">
        <w:rPr>
          <w:rFonts w:ascii="Lato" w:hAnsi="Lato" w:cs="Times New Roman"/>
          <w:sz w:val="24"/>
          <w:szCs w:val="24"/>
        </w:rPr>
        <w:t xml:space="preserve"> and 16</w:t>
      </w:r>
      <w:r w:rsidRPr="0006508F">
        <w:rPr>
          <w:rStyle w:val="FootnoteReference"/>
          <w:rFonts w:ascii="Lato" w:hAnsi="Lato" w:cs="Times New Roman"/>
          <w:sz w:val="24"/>
          <w:szCs w:val="24"/>
        </w:rPr>
        <w:footnoteReference w:id="17"/>
      </w:r>
      <w:r w:rsidRPr="0006508F">
        <w:rPr>
          <w:rFonts w:ascii="Lato" w:hAnsi="Lato" w:cs="Times New Roman"/>
          <w:sz w:val="24"/>
          <w:szCs w:val="24"/>
        </w:rPr>
        <w:t xml:space="preserve"> of the Constitution. Article 15(4) allows for special measures to be framed for certain classes of citizens, such as in education, housing, local political appointments</w:t>
      </w:r>
      <w:r w:rsidRPr="0006508F">
        <w:rPr>
          <w:rStyle w:val="FootnoteReference"/>
          <w:rFonts w:ascii="Lato" w:hAnsi="Lato" w:cs="Times New Roman"/>
          <w:sz w:val="24"/>
          <w:szCs w:val="24"/>
        </w:rPr>
        <w:footnoteReference w:id="18"/>
      </w:r>
      <w:r w:rsidRPr="0006508F">
        <w:rPr>
          <w:rFonts w:ascii="Lato" w:hAnsi="Lato" w:cs="Times New Roman"/>
          <w:sz w:val="24"/>
          <w:szCs w:val="24"/>
        </w:rPr>
        <w:t xml:space="preserve"> and Article 16(4) confines itself to reservations in public employment. Under both Articles </w:t>
      </w:r>
      <w:r w:rsidRPr="0006508F">
        <w:rPr>
          <w:rFonts w:ascii="Lato" w:hAnsi="Lato" w:cs="Times New Roman"/>
          <w:sz w:val="24"/>
          <w:szCs w:val="24"/>
        </w:rPr>
        <w:lastRenderedPageBreak/>
        <w:t>15(4) and 16(4), the State may also frame preferential policies such as fee waivers and age relaxations</w:t>
      </w:r>
      <w:r w:rsidRPr="0006508F">
        <w:rPr>
          <w:rStyle w:val="FootnoteReference"/>
          <w:rFonts w:ascii="Lato" w:hAnsi="Lato" w:cs="Times New Roman"/>
          <w:sz w:val="24"/>
          <w:szCs w:val="24"/>
        </w:rPr>
        <w:footnoteReference w:id="19"/>
      </w:r>
      <w:r w:rsidRPr="0006508F">
        <w:rPr>
          <w:rFonts w:ascii="Lato" w:hAnsi="Lato" w:cs="Times New Roman"/>
          <w:sz w:val="24"/>
          <w:szCs w:val="24"/>
        </w:rPr>
        <w:t xml:space="preserve"> for the intended beneficiaries. </w:t>
      </w:r>
    </w:p>
    <w:p w:rsidR="00DE4BC8" w:rsidRPr="0006508F" w:rsidRDefault="00577A39" w:rsidP="00DE4BC8">
      <w:pPr>
        <w:spacing w:after="0" w:line="360" w:lineRule="auto"/>
        <w:ind w:firstLine="810"/>
        <w:jc w:val="both"/>
        <w:rPr>
          <w:rFonts w:ascii="Lato" w:hAnsi="Lato" w:cs="Times New Roman"/>
          <w:sz w:val="24"/>
          <w:szCs w:val="24"/>
        </w:rPr>
      </w:pPr>
      <w:r w:rsidRPr="0006508F">
        <w:rPr>
          <w:rFonts w:ascii="Lato" w:hAnsi="Lato" w:cs="Times New Roman"/>
          <w:sz w:val="24"/>
          <w:szCs w:val="24"/>
        </w:rPr>
        <w:t xml:space="preserve">In addition to special provisions accorded to </w:t>
      </w:r>
      <w:r w:rsidR="00DE4BC8" w:rsidRPr="0006508F">
        <w:rPr>
          <w:rFonts w:ascii="Lato" w:hAnsi="Lato" w:cs="Times New Roman"/>
          <w:sz w:val="24"/>
          <w:szCs w:val="24"/>
        </w:rPr>
        <w:t>Scheduled C</w:t>
      </w:r>
      <w:r w:rsidRPr="0006508F">
        <w:rPr>
          <w:rFonts w:ascii="Lato" w:hAnsi="Lato" w:cs="Times New Roman"/>
          <w:sz w:val="24"/>
          <w:szCs w:val="24"/>
        </w:rPr>
        <w:t xml:space="preserve">astes and </w:t>
      </w:r>
      <w:r w:rsidR="00DE4BC8" w:rsidRPr="0006508F">
        <w:rPr>
          <w:rFonts w:ascii="Lato" w:hAnsi="Lato" w:cs="Times New Roman"/>
          <w:sz w:val="24"/>
          <w:szCs w:val="24"/>
        </w:rPr>
        <w:t>Scheduled T</w:t>
      </w:r>
      <w:r w:rsidRPr="0006508F">
        <w:rPr>
          <w:rFonts w:ascii="Lato" w:hAnsi="Lato" w:cs="Times New Roman"/>
          <w:sz w:val="24"/>
          <w:szCs w:val="24"/>
        </w:rPr>
        <w:t>ribes</w:t>
      </w:r>
      <w:r w:rsidR="00DE4BC8" w:rsidRPr="0006508F">
        <w:rPr>
          <w:rFonts w:ascii="Lato" w:hAnsi="Lato" w:cs="Times New Roman"/>
          <w:sz w:val="24"/>
          <w:szCs w:val="24"/>
        </w:rPr>
        <w:t>,</w:t>
      </w:r>
      <w:r w:rsidRPr="0006508F">
        <w:rPr>
          <w:rFonts w:ascii="Lato" w:hAnsi="Lato" w:cs="Times New Roman"/>
          <w:sz w:val="24"/>
          <w:szCs w:val="24"/>
        </w:rPr>
        <w:t xml:space="preserve"> Articles 15(4) uses the phrase ‘socially and educationally backward classes’ (SEBCs) to cover </w:t>
      </w:r>
      <w:proofErr w:type="spellStart"/>
      <w:r w:rsidR="00DE4BC8" w:rsidRPr="0006508F">
        <w:rPr>
          <w:rFonts w:ascii="Lato" w:hAnsi="Lato" w:cs="Times New Roman"/>
          <w:sz w:val="24"/>
          <w:szCs w:val="24"/>
        </w:rPr>
        <w:t>addiitonal</w:t>
      </w:r>
      <w:proofErr w:type="spellEnd"/>
      <w:r w:rsidR="00DE4BC8" w:rsidRPr="0006508F">
        <w:rPr>
          <w:rFonts w:ascii="Lato" w:hAnsi="Lato" w:cs="Times New Roman"/>
          <w:sz w:val="24"/>
          <w:szCs w:val="24"/>
        </w:rPr>
        <w:t xml:space="preserve"> </w:t>
      </w:r>
      <w:r w:rsidRPr="0006508F">
        <w:rPr>
          <w:rFonts w:ascii="Lato" w:hAnsi="Lato" w:cs="Times New Roman"/>
          <w:sz w:val="24"/>
          <w:szCs w:val="24"/>
        </w:rPr>
        <w:t>class</w:t>
      </w:r>
      <w:r w:rsidR="00DE4BC8" w:rsidRPr="0006508F">
        <w:rPr>
          <w:rFonts w:ascii="Lato" w:hAnsi="Lato" w:cs="Times New Roman"/>
          <w:sz w:val="24"/>
          <w:szCs w:val="24"/>
        </w:rPr>
        <w:t>es</w:t>
      </w:r>
      <w:r w:rsidRPr="0006508F">
        <w:rPr>
          <w:rFonts w:ascii="Lato" w:hAnsi="Lato" w:cs="Times New Roman"/>
          <w:sz w:val="24"/>
          <w:szCs w:val="24"/>
        </w:rPr>
        <w:t xml:space="preserve"> of intended beneficiaries of </w:t>
      </w:r>
      <w:r w:rsidR="00203A4B" w:rsidRPr="0006508F">
        <w:rPr>
          <w:rFonts w:ascii="Lato" w:hAnsi="Lato" w:cs="Times New Roman"/>
          <w:sz w:val="24"/>
          <w:szCs w:val="24"/>
        </w:rPr>
        <w:t xml:space="preserve">such </w:t>
      </w:r>
      <w:r w:rsidRPr="0006508F">
        <w:rPr>
          <w:rFonts w:ascii="Lato" w:hAnsi="Lato" w:cs="Times New Roman"/>
          <w:sz w:val="24"/>
          <w:szCs w:val="24"/>
        </w:rPr>
        <w:t>special measures</w:t>
      </w:r>
      <w:r w:rsidR="00896865" w:rsidRPr="0006508F">
        <w:rPr>
          <w:rFonts w:ascii="Lato" w:hAnsi="Lato" w:cs="Times New Roman"/>
          <w:sz w:val="24"/>
          <w:szCs w:val="24"/>
        </w:rPr>
        <w:t>,</w:t>
      </w:r>
      <w:r w:rsidRPr="0006508F">
        <w:rPr>
          <w:rFonts w:ascii="Lato" w:hAnsi="Lato" w:cs="Times New Roman"/>
          <w:sz w:val="24"/>
          <w:szCs w:val="24"/>
        </w:rPr>
        <w:t xml:space="preserve"> including reservations. Similarly, Article 16(4) uses the phrase ‘backward classes’ who are not adequately represented in th</w:t>
      </w:r>
      <w:r w:rsidR="00896865" w:rsidRPr="0006508F">
        <w:rPr>
          <w:rFonts w:ascii="Lato" w:hAnsi="Lato" w:cs="Times New Roman"/>
          <w:sz w:val="24"/>
          <w:szCs w:val="24"/>
        </w:rPr>
        <w:t>e services under the State. In</w:t>
      </w:r>
      <w:r w:rsidRPr="0006508F">
        <w:rPr>
          <w:rFonts w:ascii="Lato" w:hAnsi="Lato" w:cs="Times New Roman"/>
          <w:sz w:val="24"/>
          <w:szCs w:val="24"/>
        </w:rPr>
        <w:t xml:space="preserve"> </w:t>
      </w:r>
      <w:proofErr w:type="spellStart"/>
      <w:r w:rsidRPr="0006508F">
        <w:rPr>
          <w:rFonts w:ascii="Lato" w:hAnsi="Lato" w:cs="Times New Roman"/>
          <w:i/>
          <w:sz w:val="24"/>
          <w:szCs w:val="24"/>
        </w:rPr>
        <w:t>Indra</w:t>
      </w:r>
      <w:proofErr w:type="spellEnd"/>
      <w:r w:rsidRPr="0006508F">
        <w:rPr>
          <w:rFonts w:ascii="Lato" w:hAnsi="Lato" w:cs="Times New Roman"/>
          <w:i/>
          <w:sz w:val="24"/>
          <w:szCs w:val="24"/>
        </w:rPr>
        <w:t xml:space="preserve"> </w:t>
      </w:r>
      <w:proofErr w:type="spellStart"/>
      <w:r w:rsidRPr="0006508F">
        <w:rPr>
          <w:rFonts w:ascii="Lato" w:hAnsi="Lato" w:cs="Times New Roman"/>
          <w:i/>
          <w:sz w:val="24"/>
          <w:szCs w:val="24"/>
        </w:rPr>
        <w:t>Sawhney</w:t>
      </w:r>
      <w:proofErr w:type="spellEnd"/>
      <w:r w:rsidRPr="0006508F">
        <w:rPr>
          <w:rFonts w:ascii="Lato" w:hAnsi="Lato" w:cs="Times New Roman"/>
          <w:sz w:val="24"/>
          <w:szCs w:val="24"/>
        </w:rPr>
        <w:t xml:space="preserve"> v. </w:t>
      </w:r>
      <w:r w:rsidRPr="0006508F">
        <w:rPr>
          <w:rFonts w:ascii="Lato" w:hAnsi="Lato" w:cs="Times New Roman"/>
          <w:i/>
          <w:sz w:val="24"/>
          <w:szCs w:val="24"/>
        </w:rPr>
        <w:t>Union of India</w:t>
      </w:r>
      <w:r w:rsidR="00DE4BC8" w:rsidRPr="0006508F">
        <w:rPr>
          <w:rFonts w:ascii="Lato" w:hAnsi="Lato" w:cs="Times New Roman"/>
          <w:i/>
          <w:sz w:val="24"/>
          <w:szCs w:val="24"/>
        </w:rPr>
        <w:t xml:space="preserve">, </w:t>
      </w:r>
      <w:r w:rsidRPr="0006508F">
        <w:rPr>
          <w:rFonts w:ascii="Lato" w:hAnsi="Lato" w:cs="Times New Roman"/>
          <w:sz w:val="24"/>
          <w:szCs w:val="24"/>
        </w:rPr>
        <w:t>the Supreme Court clarified that</w:t>
      </w:r>
      <w:r w:rsidR="00896865" w:rsidRPr="0006508F">
        <w:rPr>
          <w:rFonts w:ascii="Lato" w:hAnsi="Lato" w:cs="Times New Roman"/>
          <w:sz w:val="24"/>
          <w:szCs w:val="24"/>
        </w:rPr>
        <w:t xml:space="preserve"> the</w:t>
      </w:r>
      <w:r w:rsidRPr="0006508F">
        <w:rPr>
          <w:rFonts w:ascii="Lato" w:hAnsi="Lato" w:cs="Times New Roman"/>
          <w:sz w:val="24"/>
          <w:szCs w:val="24"/>
        </w:rPr>
        <w:t xml:space="preserve"> State could adopt any suitable method to determine which persons would constitute a ‘backward class’ in the context of Article 16(4), </w:t>
      </w:r>
      <w:r w:rsidR="00896865" w:rsidRPr="0006508F">
        <w:rPr>
          <w:rFonts w:ascii="Lato" w:hAnsi="Lato" w:cs="Times New Roman"/>
          <w:sz w:val="24"/>
          <w:szCs w:val="24"/>
        </w:rPr>
        <w:t xml:space="preserve">which may be </w:t>
      </w:r>
      <w:r w:rsidRPr="0006508F">
        <w:rPr>
          <w:rFonts w:ascii="Lato" w:hAnsi="Lato" w:cs="Times New Roman"/>
          <w:sz w:val="24"/>
          <w:szCs w:val="24"/>
        </w:rPr>
        <w:t xml:space="preserve">defined with reference to </w:t>
      </w:r>
      <w:r w:rsidR="00092EC1" w:rsidRPr="0006508F">
        <w:rPr>
          <w:rFonts w:ascii="Lato" w:hAnsi="Lato" w:cs="Times New Roman"/>
          <w:sz w:val="24"/>
          <w:szCs w:val="24"/>
        </w:rPr>
        <w:t xml:space="preserve">any protected characteristic such as </w:t>
      </w:r>
      <w:r w:rsidRPr="0006508F">
        <w:rPr>
          <w:rFonts w:ascii="Lato" w:hAnsi="Lato" w:cs="Times New Roman"/>
          <w:sz w:val="24"/>
          <w:szCs w:val="24"/>
        </w:rPr>
        <w:t>caste, race and sex</w:t>
      </w:r>
      <w:r w:rsidR="00092EC1" w:rsidRPr="0006508F">
        <w:rPr>
          <w:rFonts w:ascii="Lato" w:hAnsi="Lato" w:cs="Times New Roman"/>
          <w:sz w:val="24"/>
          <w:szCs w:val="24"/>
        </w:rPr>
        <w:t>.</w:t>
      </w:r>
      <w:r w:rsidRPr="0006508F">
        <w:rPr>
          <w:rStyle w:val="FootnoteReference"/>
          <w:rFonts w:ascii="Lato" w:hAnsi="Lato" w:cs="Times New Roman"/>
          <w:sz w:val="24"/>
          <w:szCs w:val="24"/>
        </w:rPr>
        <w:footnoteReference w:id="20"/>
      </w:r>
    </w:p>
    <w:p w:rsidR="002A0EFD" w:rsidRPr="0006508F" w:rsidRDefault="00577A39" w:rsidP="002A0EFD">
      <w:pPr>
        <w:spacing w:after="0" w:line="360" w:lineRule="auto"/>
        <w:ind w:firstLine="810"/>
        <w:jc w:val="both"/>
        <w:rPr>
          <w:rFonts w:ascii="Lato" w:hAnsi="Lato" w:cs="Times New Roman"/>
          <w:sz w:val="24"/>
          <w:szCs w:val="24"/>
        </w:rPr>
      </w:pPr>
      <w:r w:rsidRPr="0006508F">
        <w:rPr>
          <w:rFonts w:ascii="Lato" w:hAnsi="Lato" w:cs="Times New Roman"/>
          <w:sz w:val="24"/>
          <w:szCs w:val="24"/>
        </w:rPr>
        <w:t xml:space="preserve">The </w:t>
      </w:r>
      <w:proofErr w:type="gramStart"/>
      <w:r w:rsidRPr="0006508F">
        <w:rPr>
          <w:rFonts w:ascii="Lato" w:hAnsi="Lato" w:cs="Times New Roman"/>
          <w:sz w:val="24"/>
          <w:szCs w:val="24"/>
        </w:rPr>
        <w:t>criteria for identifying backward classes under Article 16(4) was</w:t>
      </w:r>
      <w:proofErr w:type="gramEnd"/>
      <w:r w:rsidRPr="0006508F">
        <w:rPr>
          <w:rFonts w:ascii="Lato" w:hAnsi="Lato" w:cs="Times New Roman"/>
          <w:sz w:val="24"/>
          <w:szCs w:val="24"/>
        </w:rPr>
        <w:t xml:space="preserve"> also extended by the Supreme Court in </w:t>
      </w:r>
      <w:proofErr w:type="spellStart"/>
      <w:r w:rsidRPr="0006508F">
        <w:rPr>
          <w:rFonts w:ascii="Lato" w:hAnsi="Lato" w:cs="Times New Roman"/>
          <w:i/>
          <w:sz w:val="24"/>
          <w:szCs w:val="24"/>
        </w:rPr>
        <w:t>Indra</w:t>
      </w:r>
      <w:proofErr w:type="spellEnd"/>
      <w:r w:rsidRPr="0006508F">
        <w:rPr>
          <w:rFonts w:ascii="Lato" w:hAnsi="Lato" w:cs="Times New Roman"/>
          <w:i/>
          <w:sz w:val="24"/>
          <w:szCs w:val="24"/>
        </w:rPr>
        <w:t xml:space="preserve"> </w:t>
      </w:r>
      <w:proofErr w:type="spellStart"/>
      <w:r w:rsidRPr="0006508F">
        <w:rPr>
          <w:rFonts w:ascii="Lato" w:hAnsi="Lato" w:cs="Times New Roman"/>
          <w:i/>
          <w:sz w:val="24"/>
          <w:szCs w:val="24"/>
        </w:rPr>
        <w:t>Sawhney</w:t>
      </w:r>
      <w:proofErr w:type="spellEnd"/>
      <w:r w:rsidRPr="0006508F">
        <w:rPr>
          <w:rFonts w:ascii="Lato" w:hAnsi="Lato" w:cs="Times New Roman"/>
          <w:i/>
          <w:sz w:val="24"/>
          <w:szCs w:val="24"/>
        </w:rPr>
        <w:t xml:space="preserve"> </w:t>
      </w:r>
      <w:r w:rsidRPr="0006508F">
        <w:rPr>
          <w:rFonts w:ascii="Lato" w:hAnsi="Lato" w:cs="Times New Roman"/>
          <w:sz w:val="24"/>
          <w:szCs w:val="24"/>
        </w:rPr>
        <w:t xml:space="preserve">to identify ‘socially and educationally backward classes’ under Article 15(4). Therefore, </w:t>
      </w:r>
      <w:r w:rsidR="00DE4BC8" w:rsidRPr="0006508F">
        <w:rPr>
          <w:rFonts w:ascii="Lato" w:hAnsi="Lato" w:cs="Times New Roman"/>
          <w:sz w:val="24"/>
          <w:szCs w:val="24"/>
        </w:rPr>
        <w:t xml:space="preserve">under Article 16 (4) and 15(4), groups can be identified for reservation and the </w:t>
      </w:r>
      <w:r w:rsidRPr="0006508F">
        <w:rPr>
          <w:rFonts w:ascii="Lato" w:hAnsi="Lato" w:cs="Times New Roman"/>
          <w:sz w:val="24"/>
          <w:szCs w:val="24"/>
        </w:rPr>
        <w:t>criteria evolved for determining backwardness</w:t>
      </w:r>
      <w:r w:rsidRPr="0006508F">
        <w:rPr>
          <w:rStyle w:val="FootnoteReference"/>
          <w:rFonts w:ascii="Lato" w:hAnsi="Lato" w:cs="Times New Roman"/>
          <w:sz w:val="24"/>
          <w:szCs w:val="24"/>
        </w:rPr>
        <w:footnoteReference w:id="21"/>
      </w:r>
      <w:r w:rsidR="008A2BDD" w:rsidRPr="0006508F">
        <w:rPr>
          <w:rFonts w:ascii="Lato" w:hAnsi="Lato" w:cs="Times New Roman"/>
          <w:sz w:val="24"/>
          <w:szCs w:val="24"/>
        </w:rPr>
        <w:t>,</w:t>
      </w:r>
      <w:r w:rsidRPr="0006508F">
        <w:rPr>
          <w:rFonts w:ascii="Lato" w:hAnsi="Lato" w:cs="Times New Roman"/>
          <w:sz w:val="24"/>
          <w:szCs w:val="24"/>
        </w:rPr>
        <w:t xml:space="preserve"> </w:t>
      </w:r>
      <w:r w:rsidR="00DE4BC8" w:rsidRPr="0006508F">
        <w:rPr>
          <w:rFonts w:ascii="Lato" w:hAnsi="Lato" w:cs="Times New Roman"/>
          <w:sz w:val="24"/>
          <w:szCs w:val="24"/>
        </w:rPr>
        <w:t xml:space="preserve">include </w:t>
      </w:r>
      <w:r w:rsidRPr="0006508F">
        <w:rPr>
          <w:rFonts w:ascii="Lato" w:hAnsi="Lato" w:cs="Times New Roman"/>
          <w:sz w:val="24"/>
          <w:szCs w:val="24"/>
        </w:rPr>
        <w:t>illiteracy, isolation, poverty, physical and mental degradation</w:t>
      </w:r>
      <w:r w:rsidRPr="0006508F">
        <w:rPr>
          <w:rStyle w:val="FootnoteReference"/>
          <w:rFonts w:ascii="Lato" w:hAnsi="Lato" w:cs="Times New Roman"/>
          <w:sz w:val="24"/>
          <w:szCs w:val="24"/>
        </w:rPr>
        <w:footnoteReference w:id="22"/>
      </w:r>
      <w:r w:rsidR="00DE4BC8" w:rsidRPr="0006508F">
        <w:rPr>
          <w:rFonts w:ascii="Lato" w:hAnsi="Lato" w:cs="Times New Roman"/>
          <w:sz w:val="24"/>
          <w:szCs w:val="24"/>
        </w:rPr>
        <w:t xml:space="preserve"> among others.</w:t>
      </w:r>
      <w:r w:rsidRPr="0006508F">
        <w:rPr>
          <w:rStyle w:val="FootnoteReference"/>
          <w:rFonts w:ascii="Lato" w:hAnsi="Lato" w:cs="Times New Roman"/>
          <w:sz w:val="24"/>
          <w:szCs w:val="24"/>
        </w:rPr>
        <w:footnoteReference w:id="23"/>
      </w:r>
      <w:r w:rsidRPr="0006508F">
        <w:rPr>
          <w:rFonts w:ascii="Lato" w:hAnsi="Lato" w:cs="Times New Roman"/>
          <w:sz w:val="24"/>
          <w:szCs w:val="24"/>
        </w:rPr>
        <w:t xml:space="preserve"> </w:t>
      </w:r>
      <w:proofErr w:type="gramStart"/>
      <w:r w:rsidRPr="0006508F">
        <w:rPr>
          <w:rFonts w:ascii="Lato" w:hAnsi="Lato" w:cs="Times New Roman"/>
          <w:sz w:val="24"/>
          <w:szCs w:val="24"/>
        </w:rPr>
        <w:t xml:space="preserve">Since </w:t>
      </w:r>
      <w:proofErr w:type="spellStart"/>
      <w:r w:rsidRPr="0006508F">
        <w:rPr>
          <w:rFonts w:ascii="Lato" w:hAnsi="Lato" w:cs="Times New Roman"/>
          <w:i/>
          <w:sz w:val="24"/>
          <w:szCs w:val="24"/>
        </w:rPr>
        <w:t>Indra</w:t>
      </w:r>
      <w:proofErr w:type="spellEnd"/>
      <w:r w:rsidRPr="0006508F">
        <w:rPr>
          <w:rFonts w:ascii="Lato" w:hAnsi="Lato" w:cs="Times New Roman"/>
          <w:i/>
          <w:sz w:val="24"/>
          <w:szCs w:val="24"/>
        </w:rPr>
        <w:t xml:space="preserve"> </w:t>
      </w:r>
      <w:proofErr w:type="spellStart"/>
      <w:r w:rsidRPr="0006508F">
        <w:rPr>
          <w:rFonts w:ascii="Lato" w:hAnsi="Lato" w:cs="Times New Roman"/>
          <w:i/>
          <w:sz w:val="24"/>
          <w:szCs w:val="24"/>
        </w:rPr>
        <w:t>Sawhey</w:t>
      </w:r>
      <w:proofErr w:type="spellEnd"/>
      <w:r w:rsidRPr="0006508F">
        <w:rPr>
          <w:rFonts w:ascii="Lato" w:hAnsi="Lato" w:cs="Times New Roman"/>
          <w:sz w:val="24"/>
          <w:szCs w:val="24"/>
        </w:rPr>
        <w:t xml:space="preserve">, the term ‘socially and educationally backward class’ has come to be determined </w:t>
      </w:r>
      <w:r w:rsidR="008A2BDD" w:rsidRPr="0006508F">
        <w:rPr>
          <w:rFonts w:ascii="Lato" w:hAnsi="Lato" w:cs="Times New Roman"/>
          <w:sz w:val="24"/>
          <w:szCs w:val="24"/>
        </w:rPr>
        <w:t>on the basis of the</w:t>
      </w:r>
      <w:r w:rsidR="001345FD" w:rsidRPr="0006508F">
        <w:rPr>
          <w:rFonts w:ascii="Lato" w:hAnsi="Lato" w:cs="Times New Roman"/>
          <w:sz w:val="24"/>
          <w:szCs w:val="24"/>
        </w:rPr>
        <w:t xml:space="preserve"> </w:t>
      </w:r>
      <w:proofErr w:type="spellStart"/>
      <w:r w:rsidR="001345FD" w:rsidRPr="0006508F">
        <w:rPr>
          <w:rFonts w:ascii="Lato" w:hAnsi="Lato" w:cs="Times New Roman"/>
          <w:sz w:val="24"/>
          <w:szCs w:val="24"/>
        </w:rPr>
        <w:t>Mandal</w:t>
      </w:r>
      <w:proofErr w:type="spellEnd"/>
      <w:r w:rsidR="001345FD" w:rsidRPr="0006508F">
        <w:rPr>
          <w:rFonts w:ascii="Lato" w:hAnsi="Lato" w:cs="Times New Roman"/>
          <w:sz w:val="24"/>
          <w:szCs w:val="24"/>
        </w:rPr>
        <w:t xml:space="preserve"> formula for </w:t>
      </w:r>
      <w:proofErr w:type="spellStart"/>
      <w:r w:rsidR="001345FD" w:rsidRPr="0006508F">
        <w:rPr>
          <w:rFonts w:ascii="Lato" w:hAnsi="Lato" w:cs="Times New Roman"/>
          <w:sz w:val="24"/>
          <w:szCs w:val="24"/>
        </w:rPr>
        <w:t>backwardnes</w:t>
      </w:r>
      <w:proofErr w:type="spellEnd"/>
      <w:r w:rsidR="001345FD" w:rsidRPr="0006508F">
        <w:rPr>
          <w:rFonts w:ascii="Lato" w:hAnsi="Lato" w:cs="Times New Roman"/>
          <w:sz w:val="24"/>
          <w:szCs w:val="24"/>
        </w:rPr>
        <w:t>.</w:t>
      </w:r>
      <w:proofErr w:type="gramEnd"/>
      <w:r w:rsidRPr="0006508F">
        <w:rPr>
          <w:rFonts w:ascii="Lato" w:hAnsi="Lato" w:cs="Times New Roman"/>
          <w:sz w:val="24"/>
          <w:szCs w:val="24"/>
          <w:highlight w:val="yellow"/>
        </w:rPr>
        <w:t xml:space="preserve"> </w:t>
      </w:r>
      <w:r w:rsidR="001345FD" w:rsidRPr="0006508F">
        <w:rPr>
          <w:rFonts w:ascii="Lato" w:hAnsi="Lato" w:cs="Times New Roman"/>
          <w:sz w:val="24"/>
          <w:szCs w:val="24"/>
        </w:rPr>
        <w:t xml:space="preserve"> </w:t>
      </w:r>
    </w:p>
    <w:p w:rsidR="00577A39" w:rsidRPr="0006508F" w:rsidRDefault="002A0EFD" w:rsidP="002A0EFD">
      <w:pPr>
        <w:spacing w:after="0" w:line="360" w:lineRule="auto"/>
        <w:ind w:firstLine="810"/>
        <w:jc w:val="both"/>
        <w:rPr>
          <w:rFonts w:ascii="Lato" w:hAnsi="Lato" w:cs="Times New Roman"/>
          <w:sz w:val="24"/>
          <w:szCs w:val="24"/>
        </w:rPr>
      </w:pPr>
      <w:r w:rsidRPr="0006508F">
        <w:rPr>
          <w:rFonts w:ascii="Lato" w:hAnsi="Lato" w:cs="Times New Roman"/>
          <w:sz w:val="24"/>
          <w:szCs w:val="24"/>
        </w:rPr>
        <w:t>B</w:t>
      </w:r>
      <w:r w:rsidR="00577A39" w:rsidRPr="0006508F">
        <w:rPr>
          <w:rFonts w:ascii="Lato" w:hAnsi="Lato" w:cs="Times New Roman"/>
          <w:sz w:val="24"/>
          <w:szCs w:val="24"/>
        </w:rPr>
        <w:t xml:space="preserve">ased on the </w:t>
      </w:r>
      <w:r w:rsidRPr="0006508F">
        <w:rPr>
          <w:rFonts w:ascii="Lato" w:hAnsi="Lato" w:cs="Times New Roman"/>
          <w:sz w:val="24"/>
          <w:szCs w:val="24"/>
        </w:rPr>
        <w:t>above criteria</w:t>
      </w:r>
      <w:r w:rsidR="00577A39" w:rsidRPr="0006508F">
        <w:rPr>
          <w:rFonts w:ascii="Lato" w:hAnsi="Lato" w:cs="Times New Roman"/>
          <w:sz w:val="24"/>
          <w:szCs w:val="24"/>
        </w:rPr>
        <w:t>, there is little doubt that transgender persons in India are a socially and educationally backward class of citizens</w:t>
      </w:r>
      <w:r w:rsidRPr="0006508F">
        <w:rPr>
          <w:rFonts w:ascii="Lato" w:hAnsi="Lato" w:cs="Times New Roman"/>
          <w:sz w:val="24"/>
          <w:szCs w:val="24"/>
        </w:rPr>
        <w:t>.</w:t>
      </w:r>
      <w:r w:rsidR="00577A39" w:rsidRPr="0006508F">
        <w:rPr>
          <w:rStyle w:val="FootnoteReference"/>
          <w:rFonts w:ascii="Lato" w:hAnsi="Lato" w:cs="Times New Roman"/>
          <w:sz w:val="24"/>
          <w:szCs w:val="24"/>
        </w:rPr>
        <w:footnoteReference w:id="24"/>
      </w:r>
      <w:r w:rsidRPr="0006508F">
        <w:rPr>
          <w:rFonts w:ascii="Lato" w:hAnsi="Lato" w:cs="Times New Roman"/>
          <w:sz w:val="24"/>
          <w:szCs w:val="24"/>
        </w:rPr>
        <w:t xml:space="preserve"> However, we </w:t>
      </w:r>
      <w:r w:rsidR="00850626" w:rsidRPr="0006508F">
        <w:rPr>
          <w:rFonts w:ascii="Lato" w:hAnsi="Lato" w:cs="Times New Roman"/>
          <w:sz w:val="24"/>
          <w:szCs w:val="24"/>
        </w:rPr>
        <w:t>must</w:t>
      </w:r>
      <w:r w:rsidR="008A2BDD" w:rsidRPr="0006508F">
        <w:rPr>
          <w:rFonts w:ascii="Lato" w:hAnsi="Lato" w:cs="Times New Roman"/>
          <w:sz w:val="24"/>
          <w:szCs w:val="24"/>
        </w:rPr>
        <w:t xml:space="preserve"> interrogate whether </w:t>
      </w:r>
      <w:r w:rsidR="00577A39" w:rsidRPr="0006508F">
        <w:rPr>
          <w:rFonts w:ascii="Lato" w:hAnsi="Lato" w:cs="Times New Roman"/>
          <w:sz w:val="24"/>
          <w:szCs w:val="24"/>
        </w:rPr>
        <w:t>reservations</w:t>
      </w:r>
      <w:r w:rsidR="008A2BDD" w:rsidRPr="0006508F">
        <w:rPr>
          <w:rFonts w:ascii="Lato" w:hAnsi="Lato" w:cs="Times New Roman"/>
          <w:sz w:val="24"/>
          <w:szCs w:val="24"/>
        </w:rPr>
        <w:t xml:space="preserve"> for transgender persons</w:t>
      </w:r>
      <w:r w:rsidR="00577A39" w:rsidRPr="0006508F">
        <w:rPr>
          <w:rFonts w:ascii="Lato" w:hAnsi="Lato" w:cs="Times New Roman"/>
          <w:sz w:val="24"/>
          <w:szCs w:val="24"/>
        </w:rPr>
        <w:t xml:space="preserve"> ought be extended </w:t>
      </w:r>
      <w:r w:rsidR="008A2BDD" w:rsidRPr="0006508F">
        <w:rPr>
          <w:rFonts w:ascii="Lato" w:hAnsi="Lato" w:cs="Times New Roman"/>
          <w:sz w:val="24"/>
          <w:szCs w:val="24"/>
        </w:rPr>
        <w:t xml:space="preserve">as a discrete </w:t>
      </w:r>
      <w:r w:rsidR="00577A39" w:rsidRPr="0006508F">
        <w:rPr>
          <w:rFonts w:ascii="Lato" w:hAnsi="Lato" w:cs="Times New Roman"/>
          <w:sz w:val="24"/>
          <w:szCs w:val="24"/>
        </w:rPr>
        <w:t>‘socially and educationally backward class’</w:t>
      </w:r>
      <w:r w:rsidR="00850626" w:rsidRPr="0006508F">
        <w:rPr>
          <w:rFonts w:ascii="Lato" w:hAnsi="Lato" w:cs="Times New Roman"/>
          <w:sz w:val="24"/>
          <w:szCs w:val="24"/>
        </w:rPr>
        <w:t xml:space="preserve"> in the form of vertical reservations</w:t>
      </w:r>
      <w:r w:rsidR="00577A39" w:rsidRPr="0006508F">
        <w:rPr>
          <w:rFonts w:ascii="Lato" w:hAnsi="Lato" w:cs="Times New Roman"/>
          <w:sz w:val="24"/>
          <w:szCs w:val="24"/>
        </w:rPr>
        <w:t xml:space="preserve"> </w:t>
      </w:r>
      <w:r w:rsidR="00577A39" w:rsidRPr="0006508F">
        <w:rPr>
          <w:rFonts w:ascii="Lato" w:hAnsi="Lato" w:cs="Times New Roman"/>
          <w:sz w:val="24"/>
          <w:szCs w:val="24"/>
        </w:rPr>
        <w:lastRenderedPageBreak/>
        <w:t xml:space="preserve">or whether ‘gender identity’ as the axis of discrimination </w:t>
      </w:r>
      <w:r w:rsidRPr="0006508F">
        <w:rPr>
          <w:rFonts w:ascii="Lato" w:hAnsi="Lato" w:cs="Times New Roman"/>
          <w:sz w:val="24"/>
          <w:szCs w:val="24"/>
        </w:rPr>
        <w:t xml:space="preserve">for horizontal reservations </w:t>
      </w:r>
      <w:r w:rsidR="00577A39" w:rsidRPr="0006508F">
        <w:rPr>
          <w:rFonts w:ascii="Lato" w:hAnsi="Lato" w:cs="Times New Roman"/>
          <w:sz w:val="24"/>
          <w:szCs w:val="24"/>
        </w:rPr>
        <w:t xml:space="preserve">may be </w:t>
      </w:r>
      <w:r w:rsidRPr="0006508F">
        <w:rPr>
          <w:rFonts w:ascii="Lato" w:hAnsi="Lato" w:cs="Times New Roman"/>
          <w:sz w:val="24"/>
          <w:szCs w:val="24"/>
        </w:rPr>
        <w:t xml:space="preserve">a </w:t>
      </w:r>
      <w:r w:rsidR="00577A39" w:rsidRPr="0006508F">
        <w:rPr>
          <w:rFonts w:ascii="Lato" w:hAnsi="Lato" w:cs="Times New Roman"/>
          <w:sz w:val="24"/>
          <w:szCs w:val="24"/>
        </w:rPr>
        <w:t xml:space="preserve">better </w:t>
      </w:r>
      <w:r w:rsidRPr="0006508F">
        <w:rPr>
          <w:rFonts w:ascii="Lato" w:hAnsi="Lato" w:cs="Times New Roman"/>
          <w:sz w:val="24"/>
          <w:szCs w:val="24"/>
        </w:rPr>
        <w:t>way to implement reservations.</w:t>
      </w:r>
    </w:p>
    <w:p w:rsidR="00B97259" w:rsidRPr="0006508F" w:rsidRDefault="00B97259" w:rsidP="00B97259">
      <w:pPr>
        <w:pStyle w:val="ListParagraph"/>
        <w:spacing w:after="0" w:line="360" w:lineRule="auto"/>
        <w:ind w:left="567" w:right="-46"/>
        <w:contextualSpacing w:val="0"/>
        <w:jc w:val="both"/>
        <w:rPr>
          <w:rFonts w:ascii="Lato" w:hAnsi="Lato" w:cs="Times New Roman"/>
          <w:b/>
          <w:sz w:val="24"/>
          <w:szCs w:val="24"/>
          <w:u w:val="single"/>
        </w:rPr>
      </w:pPr>
    </w:p>
    <w:p w:rsidR="00577A39" w:rsidRPr="0006508F" w:rsidRDefault="00577A39" w:rsidP="00C90AD5">
      <w:pPr>
        <w:pStyle w:val="ListParagraph"/>
        <w:numPr>
          <w:ilvl w:val="0"/>
          <w:numId w:val="17"/>
        </w:numPr>
        <w:spacing w:after="0" w:line="360" w:lineRule="auto"/>
        <w:ind w:right="-46"/>
        <w:jc w:val="both"/>
        <w:rPr>
          <w:rFonts w:ascii="Lato" w:hAnsi="Lato" w:cs="Times New Roman"/>
          <w:b/>
          <w:sz w:val="24"/>
          <w:szCs w:val="24"/>
          <w:u w:val="single"/>
        </w:rPr>
      </w:pPr>
      <w:r w:rsidRPr="0006508F">
        <w:rPr>
          <w:rFonts w:ascii="Lato" w:hAnsi="Lato" w:cs="Times New Roman"/>
          <w:b/>
          <w:sz w:val="24"/>
          <w:szCs w:val="24"/>
          <w:u w:val="single"/>
        </w:rPr>
        <w:t>Vertical and Horizontal Reservations: A Primer</w:t>
      </w:r>
    </w:p>
    <w:p w:rsidR="00F91607" w:rsidRPr="0006508F" w:rsidRDefault="00F91607" w:rsidP="00F91607">
      <w:pPr>
        <w:pStyle w:val="ListParagraph"/>
        <w:spacing w:after="0" w:line="360" w:lineRule="auto"/>
        <w:ind w:left="1080" w:right="-46"/>
        <w:jc w:val="both"/>
        <w:rPr>
          <w:rFonts w:ascii="Lato" w:hAnsi="Lato" w:cs="Times New Roman"/>
          <w:b/>
          <w:sz w:val="24"/>
          <w:szCs w:val="24"/>
          <w:u w:val="single"/>
        </w:rPr>
      </w:pPr>
    </w:p>
    <w:p w:rsidR="002A0EFD" w:rsidRPr="0006508F" w:rsidRDefault="002A0EFD" w:rsidP="002A0EFD">
      <w:pPr>
        <w:pStyle w:val="ListParagraph"/>
        <w:spacing w:after="0" w:line="360" w:lineRule="auto"/>
        <w:ind w:left="0" w:right="-46" w:firstLine="810"/>
        <w:contextualSpacing w:val="0"/>
        <w:jc w:val="both"/>
        <w:rPr>
          <w:rFonts w:ascii="Lato" w:hAnsi="Lato" w:cs="Times New Roman"/>
          <w:sz w:val="24"/>
          <w:szCs w:val="24"/>
        </w:rPr>
      </w:pPr>
      <w:r w:rsidRPr="0006508F">
        <w:rPr>
          <w:rFonts w:ascii="Lato" w:hAnsi="Lato" w:cs="Times New Roman"/>
          <w:sz w:val="24"/>
          <w:szCs w:val="24"/>
        </w:rPr>
        <w:t xml:space="preserve">In </w:t>
      </w:r>
      <w:proofErr w:type="spellStart"/>
      <w:r w:rsidR="00577A39" w:rsidRPr="0006508F">
        <w:rPr>
          <w:rFonts w:ascii="Lato" w:hAnsi="Lato" w:cs="Times New Roman"/>
          <w:i/>
          <w:sz w:val="24"/>
          <w:szCs w:val="24"/>
        </w:rPr>
        <w:t>Indra</w:t>
      </w:r>
      <w:proofErr w:type="spellEnd"/>
      <w:r w:rsidR="00577A39" w:rsidRPr="0006508F">
        <w:rPr>
          <w:rFonts w:ascii="Lato" w:hAnsi="Lato" w:cs="Times New Roman"/>
          <w:i/>
          <w:sz w:val="24"/>
          <w:szCs w:val="24"/>
        </w:rPr>
        <w:t xml:space="preserve"> </w:t>
      </w:r>
      <w:proofErr w:type="spellStart"/>
      <w:r w:rsidR="00577A39" w:rsidRPr="0006508F">
        <w:rPr>
          <w:rFonts w:ascii="Lato" w:hAnsi="Lato" w:cs="Times New Roman"/>
          <w:i/>
          <w:sz w:val="24"/>
          <w:szCs w:val="24"/>
        </w:rPr>
        <w:t>Sawhney</w:t>
      </w:r>
      <w:proofErr w:type="spellEnd"/>
      <w:r w:rsidR="00577A39" w:rsidRPr="0006508F">
        <w:rPr>
          <w:rFonts w:ascii="Lato" w:hAnsi="Lato" w:cs="Times New Roman"/>
          <w:sz w:val="24"/>
          <w:szCs w:val="24"/>
        </w:rPr>
        <w:t xml:space="preserve"> </w:t>
      </w:r>
      <w:r w:rsidRPr="0006508F">
        <w:rPr>
          <w:rFonts w:ascii="Lato" w:hAnsi="Lato" w:cs="Times New Roman"/>
          <w:sz w:val="24"/>
          <w:szCs w:val="24"/>
        </w:rPr>
        <w:t xml:space="preserve">the Court elaborated that there are </w:t>
      </w:r>
      <w:r w:rsidR="00577A39" w:rsidRPr="0006508F">
        <w:rPr>
          <w:rFonts w:ascii="Lato" w:hAnsi="Lato" w:cs="Times New Roman"/>
          <w:sz w:val="24"/>
          <w:szCs w:val="24"/>
        </w:rPr>
        <w:t xml:space="preserve">two kinds of reservation </w:t>
      </w:r>
      <w:r w:rsidRPr="0006508F">
        <w:rPr>
          <w:rFonts w:ascii="Lato" w:hAnsi="Lato" w:cs="Times New Roman"/>
          <w:sz w:val="24"/>
          <w:szCs w:val="24"/>
        </w:rPr>
        <w:t xml:space="preserve">methods </w:t>
      </w:r>
      <w:r w:rsidR="00577A39" w:rsidRPr="0006508F">
        <w:rPr>
          <w:rFonts w:ascii="Lato" w:hAnsi="Lato" w:cs="Times New Roman"/>
          <w:sz w:val="24"/>
          <w:szCs w:val="24"/>
        </w:rPr>
        <w:t>that could be pursued by the State</w:t>
      </w:r>
      <w:r w:rsidR="00203A4B" w:rsidRPr="0006508F">
        <w:rPr>
          <w:rFonts w:ascii="Lato" w:hAnsi="Lato" w:cs="Times New Roman"/>
          <w:sz w:val="24"/>
          <w:szCs w:val="24"/>
        </w:rPr>
        <w:t xml:space="preserve"> -</w:t>
      </w:r>
      <w:r w:rsidR="00577A39" w:rsidRPr="0006508F">
        <w:rPr>
          <w:rFonts w:ascii="Lato" w:hAnsi="Lato" w:cs="Times New Roman"/>
          <w:sz w:val="24"/>
          <w:szCs w:val="24"/>
        </w:rPr>
        <w:t xml:space="preserve"> vertical reservations and horizontal reservations. Reservations in favour of categories like Scheduled Castes, Scheduled Tribes and other backward classes (OBCs) under Article 16(4) were held to be “social reservations”, constituting vertical categories. Reservations in favour of </w:t>
      </w:r>
      <w:r w:rsidRPr="0006508F">
        <w:rPr>
          <w:rFonts w:ascii="Lato" w:hAnsi="Lato" w:cs="Times New Roman"/>
          <w:sz w:val="24"/>
          <w:szCs w:val="24"/>
        </w:rPr>
        <w:t xml:space="preserve">women, persons with disabilities, freedom fighters, project displaced persons and such categories </w:t>
      </w:r>
      <w:r w:rsidR="00577A39" w:rsidRPr="0006508F">
        <w:rPr>
          <w:rFonts w:ascii="Lato" w:hAnsi="Lato" w:cs="Times New Roman"/>
          <w:sz w:val="24"/>
          <w:szCs w:val="24"/>
        </w:rPr>
        <w:t xml:space="preserve">being “special reservations”, </w:t>
      </w:r>
      <w:r w:rsidRPr="0006508F">
        <w:rPr>
          <w:rFonts w:ascii="Lato" w:hAnsi="Lato" w:cs="Times New Roman"/>
          <w:sz w:val="24"/>
          <w:szCs w:val="24"/>
        </w:rPr>
        <w:t xml:space="preserve">were </w:t>
      </w:r>
      <w:r w:rsidR="00577A39" w:rsidRPr="0006508F">
        <w:rPr>
          <w:rFonts w:ascii="Lato" w:hAnsi="Lato" w:cs="Times New Roman"/>
          <w:sz w:val="24"/>
          <w:szCs w:val="24"/>
        </w:rPr>
        <w:t>horizontal categories and would cut across vertical reservations. In other words, a special reservation is provided within an existing category of social reservation.</w:t>
      </w:r>
      <w:r w:rsidR="00577A39" w:rsidRPr="0006508F">
        <w:rPr>
          <w:rStyle w:val="FootnoteReference"/>
          <w:rFonts w:ascii="Lato" w:hAnsi="Lato" w:cs="Times New Roman"/>
          <w:sz w:val="24"/>
          <w:szCs w:val="24"/>
        </w:rPr>
        <w:footnoteReference w:id="25"/>
      </w:r>
      <w:r w:rsidRPr="0006508F">
        <w:rPr>
          <w:rFonts w:ascii="Lato" w:hAnsi="Lato" w:cs="Times New Roman"/>
          <w:sz w:val="24"/>
          <w:szCs w:val="24"/>
        </w:rPr>
        <w:t xml:space="preserve"> This is also a form of recognising </w:t>
      </w:r>
      <w:proofErr w:type="spellStart"/>
      <w:r w:rsidRPr="0006508F">
        <w:rPr>
          <w:rFonts w:ascii="Lato" w:hAnsi="Lato" w:cs="Times New Roman"/>
          <w:sz w:val="24"/>
          <w:szCs w:val="24"/>
        </w:rPr>
        <w:t>intersectionality</w:t>
      </w:r>
      <w:proofErr w:type="spellEnd"/>
      <w:r w:rsidRPr="0006508F">
        <w:rPr>
          <w:rFonts w:ascii="Lato" w:hAnsi="Lato" w:cs="Times New Roman"/>
          <w:sz w:val="24"/>
          <w:szCs w:val="24"/>
        </w:rPr>
        <w:t xml:space="preserve"> within identities.</w:t>
      </w:r>
    </w:p>
    <w:p w:rsidR="002A0EFD" w:rsidRPr="0006508F" w:rsidRDefault="00577A39" w:rsidP="002A0EFD">
      <w:pPr>
        <w:pStyle w:val="ListParagraph"/>
        <w:spacing w:after="0" w:line="360" w:lineRule="auto"/>
        <w:ind w:left="0" w:right="-46" w:firstLine="810"/>
        <w:contextualSpacing w:val="0"/>
        <w:jc w:val="both"/>
        <w:rPr>
          <w:rFonts w:ascii="Lato" w:hAnsi="Lato" w:cs="Times New Roman"/>
          <w:sz w:val="24"/>
          <w:szCs w:val="24"/>
        </w:rPr>
      </w:pPr>
      <w:r w:rsidRPr="0006508F">
        <w:rPr>
          <w:rFonts w:ascii="Lato" w:hAnsi="Lato" w:cs="Times New Roman"/>
          <w:sz w:val="24"/>
          <w:szCs w:val="24"/>
        </w:rPr>
        <w:t>Horizontal reservations were related to Article 16(1) which guarantees “…</w:t>
      </w:r>
      <w:r w:rsidRPr="0006508F">
        <w:rPr>
          <w:rFonts w:ascii="Lato" w:hAnsi="Lato" w:cs="Times New Roman"/>
          <w:i/>
          <w:sz w:val="24"/>
          <w:szCs w:val="24"/>
          <w:u w:val="single"/>
        </w:rPr>
        <w:t>equality of opportunity for all citizens</w:t>
      </w:r>
      <w:r w:rsidRPr="0006508F">
        <w:rPr>
          <w:rFonts w:ascii="Lato" w:hAnsi="Lato" w:cs="Times New Roman"/>
          <w:i/>
          <w:sz w:val="24"/>
          <w:szCs w:val="24"/>
        </w:rPr>
        <w:t xml:space="preserve"> </w:t>
      </w:r>
      <w:r w:rsidRPr="0006508F">
        <w:rPr>
          <w:rFonts w:ascii="Lato" w:hAnsi="Lato" w:cs="Times New Roman"/>
          <w:sz w:val="24"/>
          <w:szCs w:val="24"/>
        </w:rPr>
        <w:t>(emphasis supplied)</w:t>
      </w:r>
      <w:r w:rsidRPr="0006508F">
        <w:rPr>
          <w:rFonts w:ascii="Lato" w:hAnsi="Lato" w:cs="Times New Roman"/>
          <w:i/>
          <w:sz w:val="24"/>
          <w:szCs w:val="24"/>
        </w:rPr>
        <w:t xml:space="preserve"> in matters relating to employment or appointment to any office under the State</w:t>
      </w:r>
      <w:r w:rsidRPr="0006508F">
        <w:rPr>
          <w:rFonts w:ascii="Lato" w:hAnsi="Lato" w:cs="Times New Roman"/>
          <w:sz w:val="24"/>
          <w:szCs w:val="24"/>
        </w:rPr>
        <w:t xml:space="preserve">”. Therefore, the Supreme Court held that while Article 16(4) is exhaustive on the subject of reservation for ‘backward class of citizens’ </w:t>
      </w:r>
      <w:r w:rsidR="002A0EFD" w:rsidRPr="0006508F">
        <w:rPr>
          <w:rFonts w:ascii="Lato" w:hAnsi="Lato" w:cs="Times New Roman"/>
          <w:sz w:val="24"/>
          <w:szCs w:val="24"/>
        </w:rPr>
        <w:t xml:space="preserve">or </w:t>
      </w:r>
      <w:r w:rsidRPr="0006508F">
        <w:rPr>
          <w:rFonts w:ascii="Lato" w:hAnsi="Lato" w:cs="Times New Roman"/>
          <w:sz w:val="24"/>
          <w:szCs w:val="24"/>
        </w:rPr>
        <w:t>vertical reservation</w:t>
      </w:r>
      <w:r w:rsidR="002A0EFD" w:rsidRPr="0006508F">
        <w:rPr>
          <w:rFonts w:ascii="Lato" w:hAnsi="Lato" w:cs="Times New Roman"/>
          <w:sz w:val="24"/>
          <w:szCs w:val="24"/>
        </w:rPr>
        <w:t>,</w:t>
      </w:r>
      <w:r w:rsidRPr="0006508F">
        <w:rPr>
          <w:rFonts w:ascii="Lato" w:hAnsi="Lato" w:cs="Times New Roman"/>
          <w:sz w:val="24"/>
          <w:szCs w:val="24"/>
        </w:rPr>
        <w:t xml:space="preserve"> it may not be exhaustive </w:t>
      </w:r>
      <w:r w:rsidR="002A0EFD" w:rsidRPr="0006508F">
        <w:rPr>
          <w:rFonts w:ascii="Lato" w:hAnsi="Lato" w:cs="Times New Roman"/>
          <w:sz w:val="24"/>
          <w:szCs w:val="24"/>
        </w:rPr>
        <w:t xml:space="preserve">for </w:t>
      </w:r>
      <w:r w:rsidRPr="0006508F">
        <w:rPr>
          <w:rFonts w:ascii="Lato" w:hAnsi="Lato" w:cs="Times New Roman"/>
          <w:sz w:val="24"/>
          <w:szCs w:val="24"/>
        </w:rPr>
        <w:t xml:space="preserve">reservations for other classes could be provided under Article 16(1). </w:t>
      </w:r>
      <w:r w:rsidR="002A0EFD" w:rsidRPr="0006508F">
        <w:rPr>
          <w:rFonts w:ascii="Lato" w:hAnsi="Lato" w:cs="Times New Roman"/>
          <w:sz w:val="24"/>
          <w:szCs w:val="24"/>
        </w:rPr>
        <w:t>P</w:t>
      </w:r>
      <w:r w:rsidRPr="0006508F">
        <w:rPr>
          <w:rFonts w:ascii="Lato" w:hAnsi="Lato" w:cs="Times New Roman"/>
          <w:sz w:val="24"/>
          <w:szCs w:val="24"/>
        </w:rPr>
        <w:t xml:space="preserve">ersons found eligible by the State for reservation under Article 16(1) would be placed against the relevant quota / category identified under Article 16(4). </w:t>
      </w:r>
      <w:r w:rsidR="002A0EFD" w:rsidRPr="0006508F">
        <w:rPr>
          <w:rFonts w:ascii="Lato" w:hAnsi="Lato" w:cs="Times New Roman"/>
          <w:sz w:val="24"/>
          <w:szCs w:val="24"/>
        </w:rPr>
        <w:t xml:space="preserve">This SC or ST women would be placed in the horizontal category and would fall under the vertical category </w:t>
      </w:r>
      <w:proofErr w:type="spellStart"/>
      <w:r w:rsidR="002A0EFD" w:rsidRPr="0006508F">
        <w:rPr>
          <w:rFonts w:ascii="Lato" w:hAnsi="Lato" w:cs="Times New Roman"/>
          <w:sz w:val="24"/>
          <w:szCs w:val="24"/>
        </w:rPr>
        <w:t>os</w:t>
      </w:r>
      <w:proofErr w:type="spellEnd"/>
      <w:r w:rsidR="002A0EFD" w:rsidRPr="0006508F">
        <w:rPr>
          <w:rFonts w:ascii="Lato" w:hAnsi="Lato" w:cs="Times New Roman"/>
          <w:sz w:val="24"/>
          <w:szCs w:val="24"/>
        </w:rPr>
        <w:t xml:space="preserve"> SC or ST, thus providing reservation for intersecting identities.</w:t>
      </w:r>
    </w:p>
    <w:p w:rsidR="00577A39" w:rsidRPr="0006508F" w:rsidRDefault="003127A4" w:rsidP="002A0EFD">
      <w:pPr>
        <w:pStyle w:val="ListParagraph"/>
        <w:spacing w:after="0" w:line="360" w:lineRule="auto"/>
        <w:ind w:left="0" w:right="-46" w:firstLine="810"/>
        <w:contextualSpacing w:val="0"/>
        <w:jc w:val="both"/>
        <w:rPr>
          <w:rFonts w:ascii="Lato" w:hAnsi="Lato" w:cs="Times New Roman"/>
          <w:sz w:val="24"/>
          <w:szCs w:val="24"/>
        </w:rPr>
      </w:pPr>
      <w:r w:rsidRPr="0006508F">
        <w:rPr>
          <w:rFonts w:ascii="Lato" w:hAnsi="Lato" w:cs="Times New Roman"/>
          <w:sz w:val="24"/>
          <w:szCs w:val="24"/>
        </w:rPr>
        <w:t xml:space="preserve">The distinction between vertical and horizontal reservations drawn in </w:t>
      </w:r>
      <w:proofErr w:type="spellStart"/>
      <w:r w:rsidRPr="0006508F">
        <w:rPr>
          <w:rFonts w:ascii="Lato" w:hAnsi="Lato" w:cs="Times New Roman"/>
          <w:i/>
          <w:sz w:val="24"/>
          <w:szCs w:val="24"/>
        </w:rPr>
        <w:t>Indra</w:t>
      </w:r>
      <w:proofErr w:type="spellEnd"/>
      <w:r w:rsidRPr="0006508F">
        <w:rPr>
          <w:rFonts w:ascii="Lato" w:hAnsi="Lato" w:cs="Times New Roman"/>
          <w:i/>
          <w:sz w:val="24"/>
          <w:szCs w:val="24"/>
        </w:rPr>
        <w:t xml:space="preserve"> </w:t>
      </w:r>
      <w:proofErr w:type="spellStart"/>
      <w:r w:rsidRPr="0006508F">
        <w:rPr>
          <w:rFonts w:ascii="Lato" w:hAnsi="Lato" w:cs="Times New Roman"/>
          <w:i/>
          <w:sz w:val="24"/>
          <w:szCs w:val="24"/>
        </w:rPr>
        <w:t>Sawhney</w:t>
      </w:r>
      <w:proofErr w:type="spellEnd"/>
      <w:r w:rsidRPr="0006508F">
        <w:rPr>
          <w:rFonts w:ascii="Lato" w:hAnsi="Lato" w:cs="Times New Roman"/>
          <w:sz w:val="24"/>
          <w:szCs w:val="24"/>
        </w:rPr>
        <w:t xml:space="preserve"> was reiterated in </w:t>
      </w:r>
      <w:r w:rsidRPr="0006508F">
        <w:rPr>
          <w:rFonts w:ascii="Lato" w:hAnsi="Lato" w:cs="Times New Roman"/>
          <w:i/>
          <w:sz w:val="24"/>
          <w:szCs w:val="24"/>
        </w:rPr>
        <w:t>Anil Kumar Gupta</w:t>
      </w:r>
      <w:r w:rsidRPr="0006508F">
        <w:rPr>
          <w:rFonts w:ascii="Lato" w:hAnsi="Lato" w:cs="Times New Roman"/>
          <w:sz w:val="24"/>
          <w:szCs w:val="24"/>
        </w:rPr>
        <w:t xml:space="preserve"> v </w:t>
      </w:r>
      <w:r w:rsidRPr="0006508F">
        <w:rPr>
          <w:rFonts w:ascii="Lato" w:hAnsi="Lato" w:cs="Times New Roman"/>
          <w:i/>
          <w:sz w:val="24"/>
          <w:szCs w:val="24"/>
        </w:rPr>
        <w:t>State of Uttar Pradesh &amp; Ors</w:t>
      </w:r>
      <w:r w:rsidRPr="0006508F">
        <w:rPr>
          <w:rStyle w:val="FootnoteReference"/>
          <w:rFonts w:ascii="Lato" w:hAnsi="Lato" w:cs="Times New Roman"/>
          <w:sz w:val="24"/>
          <w:szCs w:val="24"/>
        </w:rPr>
        <w:footnoteReference w:id="26"/>
      </w:r>
      <w:r w:rsidRPr="0006508F">
        <w:rPr>
          <w:rFonts w:ascii="Lato" w:hAnsi="Lato" w:cs="Times New Roman"/>
          <w:sz w:val="24"/>
          <w:szCs w:val="24"/>
        </w:rPr>
        <w:t xml:space="preserve">. </w:t>
      </w:r>
      <w:r w:rsidR="00577A39" w:rsidRPr="0006508F">
        <w:rPr>
          <w:rFonts w:ascii="Lato" w:hAnsi="Lato" w:cs="Times New Roman"/>
          <w:sz w:val="24"/>
          <w:szCs w:val="24"/>
        </w:rPr>
        <w:t xml:space="preserve">More than a decade later, echoing the decisions in </w:t>
      </w:r>
      <w:proofErr w:type="spellStart"/>
      <w:r w:rsidR="00577A39" w:rsidRPr="0006508F">
        <w:rPr>
          <w:rFonts w:ascii="Lato" w:hAnsi="Lato" w:cs="Times New Roman"/>
          <w:i/>
          <w:sz w:val="24"/>
          <w:szCs w:val="24"/>
        </w:rPr>
        <w:t>Indra</w:t>
      </w:r>
      <w:proofErr w:type="spellEnd"/>
      <w:r w:rsidR="00577A39" w:rsidRPr="0006508F">
        <w:rPr>
          <w:rFonts w:ascii="Lato" w:hAnsi="Lato" w:cs="Times New Roman"/>
          <w:i/>
          <w:sz w:val="24"/>
          <w:szCs w:val="24"/>
        </w:rPr>
        <w:t xml:space="preserve"> </w:t>
      </w:r>
      <w:proofErr w:type="spellStart"/>
      <w:r w:rsidR="00577A39" w:rsidRPr="0006508F">
        <w:rPr>
          <w:rFonts w:ascii="Lato" w:hAnsi="Lato" w:cs="Times New Roman"/>
          <w:i/>
          <w:sz w:val="24"/>
          <w:szCs w:val="24"/>
        </w:rPr>
        <w:t>Sawhney</w:t>
      </w:r>
      <w:proofErr w:type="spellEnd"/>
      <w:r w:rsidR="00577A39" w:rsidRPr="0006508F">
        <w:rPr>
          <w:rFonts w:ascii="Lato" w:hAnsi="Lato" w:cs="Times New Roman"/>
          <w:sz w:val="24"/>
          <w:szCs w:val="24"/>
        </w:rPr>
        <w:t>, the Supreme Court held</w:t>
      </w:r>
      <w:r w:rsidR="000D560E" w:rsidRPr="0006508F">
        <w:rPr>
          <w:rFonts w:ascii="Lato" w:hAnsi="Lato" w:cs="Times New Roman"/>
          <w:sz w:val="24"/>
          <w:szCs w:val="24"/>
        </w:rPr>
        <w:t xml:space="preserve"> decisively</w:t>
      </w:r>
      <w:r w:rsidR="00577A39" w:rsidRPr="0006508F">
        <w:rPr>
          <w:rFonts w:ascii="Lato" w:hAnsi="Lato" w:cs="Times New Roman"/>
          <w:sz w:val="24"/>
          <w:szCs w:val="24"/>
        </w:rPr>
        <w:t xml:space="preserve"> in </w:t>
      </w:r>
      <w:r w:rsidR="00577A39" w:rsidRPr="0006508F">
        <w:rPr>
          <w:rFonts w:ascii="Lato" w:hAnsi="Lato" w:cs="Times New Roman"/>
          <w:i/>
          <w:sz w:val="24"/>
          <w:szCs w:val="24"/>
        </w:rPr>
        <w:t xml:space="preserve">Rajesh Kumar </w:t>
      </w:r>
      <w:proofErr w:type="spellStart"/>
      <w:r w:rsidR="00577A39" w:rsidRPr="0006508F">
        <w:rPr>
          <w:rFonts w:ascii="Lato" w:hAnsi="Lato" w:cs="Times New Roman"/>
          <w:i/>
          <w:sz w:val="24"/>
          <w:szCs w:val="24"/>
        </w:rPr>
        <w:t>Daria</w:t>
      </w:r>
      <w:proofErr w:type="spellEnd"/>
      <w:r w:rsidR="00577A39" w:rsidRPr="0006508F">
        <w:rPr>
          <w:rFonts w:ascii="Lato" w:hAnsi="Lato" w:cs="Times New Roman"/>
          <w:sz w:val="24"/>
          <w:szCs w:val="24"/>
        </w:rPr>
        <w:t xml:space="preserve"> v. </w:t>
      </w:r>
      <w:r w:rsidR="00577A39" w:rsidRPr="0006508F">
        <w:rPr>
          <w:rFonts w:ascii="Lato" w:hAnsi="Lato" w:cs="Times New Roman"/>
          <w:i/>
          <w:sz w:val="24"/>
          <w:szCs w:val="24"/>
        </w:rPr>
        <w:t>Rajasthan Public Services Commission &amp; Ors</w:t>
      </w:r>
      <w:r w:rsidR="00577A39" w:rsidRPr="0006508F">
        <w:rPr>
          <w:rStyle w:val="FootnoteReference"/>
          <w:rFonts w:ascii="Lato" w:hAnsi="Lato" w:cs="Times New Roman"/>
          <w:sz w:val="24"/>
          <w:szCs w:val="24"/>
        </w:rPr>
        <w:footnoteReference w:id="27"/>
      </w:r>
      <w:r w:rsidR="00577A39" w:rsidRPr="0006508F">
        <w:rPr>
          <w:rFonts w:ascii="Lato" w:hAnsi="Lato" w:cs="Times New Roman"/>
          <w:sz w:val="24"/>
          <w:szCs w:val="24"/>
        </w:rPr>
        <w:t xml:space="preserve"> that social reservations in favour of members of Scheduled Castes, Scheduled Tribes and Other </w:t>
      </w:r>
      <w:r w:rsidR="00577A39" w:rsidRPr="0006508F">
        <w:rPr>
          <w:rFonts w:ascii="Lato" w:hAnsi="Lato" w:cs="Times New Roman"/>
          <w:sz w:val="24"/>
          <w:szCs w:val="24"/>
        </w:rPr>
        <w:lastRenderedPageBreak/>
        <w:t xml:space="preserve">Backward Classes (“OBC”) under Article 16(4) are vertical reservations while special reservations in favour of women and </w:t>
      </w:r>
      <w:r w:rsidR="002A0EFD" w:rsidRPr="0006508F">
        <w:rPr>
          <w:rFonts w:ascii="Lato" w:hAnsi="Lato" w:cs="Times New Roman"/>
          <w:sz w:val="24"/>
          <w:szCs w:val="24"/>
        </w:rPr>
        <w:t xml:space="preserve">persons with disabilities </w:t>
      </w:r>
      <w:r w:rsidR="00577A39" w:rsidRPr="0006508F">
        <w:rPr>
          <w:rFonts w:ascii="Lato" w:hAnsi="Lato" w:cs="Times New Roman"/>
          <w:sz w:val="24"/>
          <w:szCs w:val="24"/>
        </w:rPr>
        <w:t>under Articles 16(1) and Article 15(3), respectively, are horizontal reservations.</w:t>
      </w:r>
      <w:r w:rsidR="002A0EFD" w:rsidRPr="0006508F">
        <w:rPr>
          <w:rFonts w:ascii="Lato" w:hAnsi="Lato" w:cs="Times New Roman"/>
          <w:sz w:val="24"/>
          <w:szCs w:val="24"/>
        </w:rPr>
        <w:t xml:space="preserve"> </w:t>
      </w:r>
      <w:r w:rsidR="00577A39" w:rsidRPr="0006508F">
        <w:rPr>
          <w:rFonts w:ascii="Lato" w:hAnsi="Lato" w:cs="Times New Roman"/>
          <w:sz w:val="24"/>
          <w:szCs w:val="24"/>
        </w:rPr>
        <w:t xml:space="preserve">The delineation of this distinction between vertical and horizontal reservations, starting from </w:t>
      </w:r>
      <w:proofErr w:type="spellStart"/>
      <w:r w:rsidR="00577A39" w:rsidRPr="0006508F">
        <w:rPr>
          <w:rFonts w:ascii="Lato" w:hAnsi="Lato" w:cs="Times New Roman"/>
          <w:i/>
          <w:sz w:val="24"/>
          <w:szCs w:val="24"/>
        </w:rPr>
        <w:t>Indra</w:t>
      </w:r>
      <w:proofErr w:type="spellEnd"/>
      <w:r w:rsidR="00577A39" w:rsidRPr="0006508F">
        <w:rPr>
          <w:rFonts w:ascii="Lato" w:hAnsi="Lato" w:cs="Times New Roman"/>
          <w:i/>
          <w:sz w:val="24"/>
          <w:szCs w:val="24"/>
        </w:rPr>
        <w:t xml:space="preserve"> </w:t>
      </w:r>
      <w:proofErr w:type="spellStart"/>
      <w:r w:rsidR="00577A39" w:rsidRPr="0006508F">
        <w:rPr>
          <w:rFonts w:ascii="Lato" w:hAnsi="Lato" w:cs="Times New Roman"/>
          <w:i/>
          <w:sz w:val="24"/>
          <w:szCs w:val="24"/>
        </w:rPr>
        <w:t>Sawhney</w:t>
      </w:r>
      <w:proofErr w:type="spellEnd"/>
      <w:r w:rsidR="00577A39" w:rsidRPr="0006508F">
        <w:rPr>
          <w:rFonts w:ascii="Lato" w:hAnsi="Lato" w:cs="Times New Roman"/>
          <w:sz w:val="24"/>
          <w:szCs w:val="24"/>
        </w:rPr>
        <w:t xml:space="preserve"> till </w:t>
      </w:r>
      <w:proofErr w:type="spellStart"/>
      <w:r w:rsidR="00577A39" w:rsidRPr="0006508F">
        <w:rPr>
          <w:rFonts w:ascii="Lato" w:hAnsi="Lato" w:cs="Times New Roman"/>
          <w:i/>
          <w:sz w:val="24"/>
          <w:szCs w:val="24"/>
        </w:rPr>
        <w:t>Rajendra</w:t>
      </w:r>
      <w:proofErr w:type="spellEnd"/>
      <w:r w:rsidR="00577A39" w:rsidRPr="0006508F">
        <w:rPr>
          <w:rFonts w:ascii="Lato" w:hAnsi="Lato" w:cs="Times New Roman"/>
          <w:i/>
          <w:sz w:val="24"/>
          <w:szCs w:val="24"/>
        </w:rPr>
        <w:t xml:space="preserve"> Kumar </w:t>
      </w:r>
      <w:proofErr w:type="spellStart"/>
      <w:r w:rsidR="00577A39" w:rsidRPr="0006508F">
        <w:rPr>
          <w:rFonts w:ascii="Lato" w:hAnsi="Lato" w:cs="Times New Roman"/>
          <w:i/>
          <w:sz w:val="24"/>
          <w:szCs w:val="24"/>
        </w:rPr>
        <w:t>Da</w:t>
      </w:r>
      <w:r w:rsidRPr="0006508F">
        <w:rPr>
          <w:rFonts w:ascii="Lato" w:hAnsi="Lato" w:cs="Times New Roman"/>
          <w:i/>
          <w:sz w:val="24"/>
          <w:szCs w:val="24"/>
        </w:rPr>
        <w:t>r</w:t>
      </w:r>
      <w:r w:rsidR="00577A39" w:rsidRPr="0006508F">
        <w:rPr>
          <w:rFonts w:ascii="Lato" w:hAnsi="Lato" w:cs="Times New Roman"/>
          <w:i/>
          <w:sz w:val="24"/>
          <w:szCs w:val="24"/>
        </w:rPr>
        <w:t>ia</w:t>
      </w:r>
      <w:proofErr w:type="spellEnd"/>
      <w:r w:rsidR="00577A39" w:rsidRPr="0006508F">
        <w:rPr>
          <w:rFonts w:ascii="Lato" w:hAnsi="Lato" w:cs="Times New Roman"/>
          <w:sz w:val="24"/>
          <w:szCs w:val="24"/>
        </w:rPr>
        <w:t xml:space="preserve">, is crucial in conceptualising and implementing reservations for transgender persons. </w:t>
      </w:r>
    </w:p>
    <w:p w:rsidR="00B97259" w:rsidRPr="0006508F" w:rsidRDefault="00B97259" w:rsidP="00B97259">
      <w:pPr>
        <w:pStyle w:val="ListParagraph"/>
        <w:spacing w:after="0" w:line="360" w:lineRule="auto"/>
        <w:ind w:left="567" w:right="-22"/>
        <w:contextualSpacing w:val="0"/>
        <w:jc w:val="both"/>
        <w:rPr>
          <w:rFonts w:ascii="Lato" w:hAnsi="Lato" w:cs="Times New Roman"/>
          <w:b/>
          <w:sz w:val="24"/>
          <w:szCs w:val="24"/>
          <w:u w:val="single"/>
        </w:rPr>
      </w:pPr>
    </w:p>
    <w:p w:rsidR="00577A39" w:rsidRPr="0006508F" w:rsidRDefault="00B96303" w:rsidP="00C90AD5">
      <w:pPr>
        <w:pStyle w:val="ListParagraph"/>
        <w:numPr>
          <w:ilvl w:val="0"/>
          <w:numId w:val="17"/>
        </w:numPr>
        <w:spacing w:after="0" w:line="360" w:lineRule="auto"/>
        <w:ind w:right="-22"/>
        <w:jc w:val="both"/>
        <w:rPr>
          <w:rFonts w:ascii="Lato" w:hAnsi="Lato" w:cs="Times New Roman"/>
          <w:b/>
          <w:sz w:val="24"/>
          <w:szCs w:val="24"/>
          <w:u w:val="single"/>
        </w:rPr>
      </w:pPr>
      <w:r w:rsidRPr="0006508F">
        <w:rPr>
          <w:rFonts w:ascii="Lato" w:hAnsi="Lato" w:cs="Times New Roman"/>
          <w:b/>
          <w:sz w:val="24"/>
          <w:szCs w:val="24"/>
          <w:u w:val="single"/>
        </w:rPr>
        <w:t>Why</w:t>
      </w:r>
      <w:r w:rsidR="00C0295A" w:rsidRPr="0006508F">
        <w:rPr>
          <w:rFonts w:ascii="Lato" w:hAnsi="Lato" w:cs="Times New Roman"/>
          <w:b/>
          <w:sz w:val="24"/>
          <w:szCs w:val="24"/>
          <w:u w:val="single"/>
        </w:rPr>
        <w:t xml:space="preserve"> </w:t>
      </w:r>
      <w:r w:rsidR="0078353A" w:rsidRPr="0006508F">
        <w:rPr>
          <w:rFonts w:ascii="Lato" w:hAnsi="Lato" w:cs="Times New Roman"/>
          <w:b/>
          <w:sz w:val="24"/>
          <w:szCs w:val="24"/>
          <w:u w:val="single"/>
        </w:rPr>
        <w:t>reservations</w:t>
      </w:r>
      <w:r w:rsidRPr="0006508F">
        <w:rPr>
          <w:rFonts w:ascii="Lato" w:hAnsi="Lato" w:cs="Times New Roman"/>
          <w:b/>
          <w:sz w:val="24"/>
          <w:szCs w:val="24"/>
          <w:u w:val="single"/>
        </w:rPr>
        <w:t xml:space="preserve"> for transgender persons should be horizontal</w:t>
      </w:r>
    </w:p>
    <w:p w:rsidR="00F91607" w:rsidRPr="0006508F" w:rsidRDefault="00B97259" w:rsidP="00F91607">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 xml:space="preserve"> </w:t>
      </w:r>
      <w:r w:rsidR="00577A39" w:rsidRPr="0006508F">
        <w:rPr>
          <w:rFonts w:ascii="Lato" w:hAnsi="Lato" w:cs="Times New Roman"/>
          <w:sz w:val="24"/>
          <w:szCs w:val="24"/>
        </w:rPr>
        <w:t xml:space="preserve">Earlier in Part </w:t>
      </w:r>
      <w:r w:rsidR="0078353A" w:rsidRPr="0006508F">
        <w:rPr>
          <w:rFonts w:ascii="Lato" w:hAnsi="Lato" w:cs="Times New Roman"/>
          <w:sz w:val="24"/>
          <w:szCs w:val="24"/>
        </w:rPr>
        <w:t>1</w:t>
      </w:r>
      <w:r w:rsidR="00577A39" w:rsidRPr="0006508F">
        <w:rPr>
          <w:rFonts w:ascii="Lato" w:hAnsi="Lato" w:cs="Times New Roman"/>
          <w:sz w:val="24"/>
          <w:szCs w:val="24"/>
        </w:rPr>
        <w:t xml:space="preserve">, we noted that </w:t>
      </w:r>
      <w:r w:rsidR="00203A4B" w:rsidRPr="0006508F">
        <w:rPr>
          <w:rFonts w:ascii="Lato" w:hAnsi="Lato" w:cs="Times New Roman"/>
          <w:sz w:val="24"/>
          <w:szCs w:val="24"/>
        </w:rPr>
        <w:t xml:space="preserve">in </w:t>
      </w:r>
      <w:r w:rsidR="00203A4B" w:rsidRPr="0006508F">
        <w:rPr>
          <w:rFonts w:ascii="Lato" w:hAnsi="Lato" w:cs="Times New Roman"/>
          <w:i/>
          <w:sz w:val="24"/>
          <w:szCs w:val="24"/>
        </w:rPr>
        <w:t>NALSA</w:t>
      </w:r>
      <w:r w:rsidR="00203A4B" w:rsidRPr="0006508F">
        <w:rPr>
          <w:rFonts w:ascii="Lato" w:hAnsi="Lato" w:cs="Times New Roman"/>
          <w:sz w:val="24"/>
          <w:szCs w:val="24"/>
        </w:rPr>
        <w:t xml:space="preserve">, </w:t>
      </w:r>
      <w:r w:rsidR="00577A39" w:rsidRPr="0006508F">
        <w:rPr>
          <w:rFonts w:ascii="Lato" w:hAnsi="Lato" w:cs="Times New Roman"/>
          <w:sz w:val="24"/>
          <w:szCs w:val="24"/>
        </w:rPr>
        <w:t xml:space="preserve">the Supreme Court recognised that ‘sex’, a protected characteristic under Articles 15 and 16 of the Constitution, </w:t>
      </w:r>
      <w:r w:rsidR="00F91607" w:rsidRPr="0006508F">
        <w:rPr>
          <w:rFonts w:ascii="Lato" w:hAnsi="Lato" w:cs="Times New Roman"/>
          <w:sz w:val="24"/>
          <w:szCs w:val="24"/>
        </w:rPr>
        <w:t xml:space="preserve">was elaborated to include </w:t>
      </w:r>
      <w:r w:rsidR="00577A39" w:rsidRPr="0006508F">
        <w:rPr>
          <w:rFonts w:ascii="Lato" w:hAnsi="Lato" w:cs="Times New Roman"/>
          <w:sz w:val="24"/>
          <w:szCs w:val="24"/>
        </w:rPr>
        <w:t xml:space="preserve">‘gender identity’ </w:t>
      </w:r>
      <w:r w:rsidR="00203A4B" w:rsidRPr="0006508F">
        <w:rPr>
          <w:rFonts w:ascii="Lato" w:hAnsi="Lato" w:cs="Times New Roman"/>
          <w:sz w:val="24"/>
          <w:szCs w:val="24"/>
        </w:rPr>
        <w:t>and c</w:t>
      </w:r>
      <w:r w:rsidR="00577A39" w:rsidRPr="0006508F">
        <w:rPr>
          <w:rFonts w:ascii="Lato" w:hAnsi="Lato" w:cs="Times New Roman"/>
          <w:sz w:val="24"/>
          <w:szCs w:val="24"/>
        </w:rPr>
        <w:t xml:space="preserve">onsequently, the protection against discrimination on the grounds of sex would extend to </w:t>
      </w:r>
      <w:r w:rsidR="00F91607" w:rsidRPr="0006508F">
        <w:rPr>
          <w:rFonts w:ascii="Lato" w:hAnsi="Lato" w:cs="Times New Roman"/>
          <w:sz w:val="24"/>
          <w:szCs w:val="24"/>
        </w:rPr>
        <w:t xml:space="preserve">protection on the basis of gender </w:t>
      </w:r>
      <w:proofErr w:type="spellStart"/>
      <w:r w:rsidR="00F91607" w:rsidRPr="0006508F">
        <w:rPr>
          <w:rFonts w:ascii="Lato" w:hAnsi="Lato" w:cs="Times New Roman"/>
          <w:sz w:val="24"/>
          <w:szCs w:val="24"/>
        </w:rPr>
        <w:t>idenity</w:t>
      </w:r>
      <w:proofErr w:type="spellEnd"/>
      <w:r w:rsidR="00F91607" w:rsidRPr="0006508F">
        <w:rPr>
          <w:rFonts w:ascii="Lato" w:hAnsi="Lato" w:cs="Times New Roman"/>
          <w:sz w:val="24"/>
          <w:szCs w:val="24"/>
        </w:rPr>
        <w:t xml:space="preserve"> as well. This would mean that sex based protections would extend to transgender persons.</w:t>
      </w:r>
      <w:r w:rsidR="00577A39" w:rsidRPr="0006508F">
        <w:rPr>
          <w:rStyle w:val="FootnoteReference"/>
          <w:rFonts w:ascii="Lato" w:hAnsi="Lato" w:cs="Times New Roman"/>
          <w:sz w:val="24"/>
          <w:szCs w:val="24"/>
        </w:rPr>
        <w:footnoteReference w:id="28"/>
      </w:r>
      <w:r w:rsidR="00577A39" w:rsidRPr="0006508F">
        <w:rPr>
          <w:rFonts w:ascii="Lato" w:hAnsi="Lato" w:cs="Times New Roman"/>
          <w:sz w:val="24"/>
          <w:szCs w:val="24"/>
        </w:rPr>
        <w:t xml:space="preserve"> Therefore, in the context of transgender persons, the primary axis of discrimination that concerned the Supreme Court was ‘gender identity’. </w:t>
      </w:r>
    </w:p>
    <w:p w:rsidR="00F91607" w:rsidRPr="0006508F" w:rsidRDefault="00577A39" w:rsidP="00F91607">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 xml:space="preserve">At the same time, </w:t>
      </w:r>
      <w:r w:rsidR="00061ABB" w:rsidRPr="0006508F">
        <w:rPr>
          <w:rFonts w:ascii="Lato" w:hAnsi="Lato" w:cs="Times New Roman"/>
          <w:sz w:val="24"/>
          <w:szCs w:val="24"/>
        </w:rPr>
        <w:t>it</w:t>
      </w:r>
      <w:r w:rsidRPr="0006508F">
        <w:rPr>
          <w:rFonts w:ascii="Lato" w:hAnsi="Lato" w:cs="Times New Roman"/>
          <w:sz w:val="24"/>
          <w:szCs w:val="24"/>
        </w:rPr>
        <w:t xml:space="preserve"> directed the State to treat transgender persons as ‘socially and educationally backward classes’ of citizens</w:t>
      </w:r>
      <w:r w:rsidR="00F91607" w:rsidRPr="0006508F">
        <w:rPr>
          <w:rFonts w:ascii="Lato" w:hAnsi="Lato" w:cs="Times New Roman"/>
          <w:sz w:val="24"/>
          <w:szCs w:val="24"/>
        </w:rPr>
        <w:t xml:space="preserve">. This would technically refer to </w:t>
      </w:r>
      <w:proofErr w:type="gramStart"/>
      <w:r w:rsidR="00F91607" w:rsidRPr="0006508F">
        <w:rPr>
          <w:rFonts w:ascii="Lato" w:hAnsi="Lato" w:cs="Times New Roman"/>
          <w:sz w:val="24"/>
          <w:szCs w:val="24"/>
        </w:rPr>
        <w:t xml:space="preserve">a </w:t>
      </w:r>
      <w:r w:rsidRPr="0006508F">
        <w:rPr>
          <w:rFonts w:ascii="Lato" w:hAnsi="Lato" w:cs="Times New Roman"/>
          <w:sz w:val="24"/>
          <w:szCs w:val="24"/>
        </w:rPr>
        <w:t xml:space="preserve"> category</w:t>
      </w:r>
      <w:proofErr w:type="gramEnd"/>
      <w:r w:rsidRPr="0006508F">
        <w:rPr>
          <w:rFonts w:ascii="Lato" w:hAnsi="Lato" w:cs="Times New Roman"/>
          <w:sz w:val="24"/>
          <w:szCs w:val="24"/>
        </w:rPr>
        <w:t xml:space="preserve"> eligible for ‘vertical reservation’ along caste lines under Article 15(4)) and extend reservations in educational institutions and matters of public employment to them.</w:t>
      </w:r>
      <w:r w:rsidR="00F91607" w:rsidRPr="0006508F">
        <w:rPr>
          <w:rFonts w:ascii="Lato" w:hAnsi="Lato" w:cs="Times New Roman"/>
          <w:sz w:val="24"/>
          <w:szCs w:val="24"/>
        </w:rPr>
        <w:t xml:space="preserve"> </w:t>
      </w:r>
      <w:r w:rsidR="00CE3F06" w:rsidRPr="0006508F">
        <w:rPr>
          <w:rFonts w:ascii="Lato" w:hAnsi="Lato" w:cs="Times New Roman"/>
          <w:sz w:val="24"/>
          <w:szCs w:val="24"/>
        </w:rPr>
        <w:t>T</w:t>
      </w:r>
      <w:r w:rsidRPr="0006508F">
        <w:rPr>
          <w:rFonts w:ascii="Lato" w:hAnsi="Lato" w:cs="Times New Roman"/>
          <w:sz w:val="24"/>
          <w:szCs w:val="24"/>
        </w:rPr>
        <w:t xml:space="preserve">he Supreme Court’s repeated reliance on the term ‘socially and educationally backward classes’ in </w:t>
      </w:r>
      <w:r w:rsidRPr="0006508F">
        <w:rPr>
          <w:rFonts w:ascii="Lato" w:hAnsi="Lato" w:cs="Times New Roman"/>
          <w:i/>
          <w:sz w:val="24"/>
          <w:szCs w:val="24"/>
        </w:rPr>
        <w:t>NALSA</w:t>
      </w:r>
      <w:r w:rsidRPr="0006508F">
        <w:rPr>
          <w:rFonts w:ascii="Lato" w:hAnsi="Lato" w:cs="Times New Roman"/>
          <w:sz w:val="24"/>
          <w:szCs w:val="24"/>
        </w:rPr>
        <w:t xml:space="preserve"> to integrate transgender persons into the constitutional scheme </w:t>
      </w:r>
      <w:r w:rsidR="00F91607" w:rsidRPr="0006508F">
        <w:rPr>
          <w:rFonts w:ascii="Lato" w:hAnsi="Lato" w:cs="Times New Roman"/>
          <w:sz w:val="24"/>
          <w:szCs w:val="24"/>
        </w:rPr>
        <w:t xml:space="preserve">of </w:t>
      </w:r>
      <w:r w:rsidRPr="0006508F">
        <w:rPr>
          <w:rFonts w:ascii="Lato" w:hAnsi="Lato" w:cs="Times New Roman"/>
          <w:sz w:val="24"/>
          <w:szCs w:val="24"/>
        </w:rPr>
        <w:t>reservations effectively replaced ‘gender identity’ with</w:t>
      </w:r>
      <w:r w:rsidR="00061ABB" w:rsidRPr="0006508F">
        <w:rPr>
          <w:rFonts w:ascii="Lato" w:hAnsi="Lato" w:cs="Times New Roman"/>
          <w:sz w:val="24"/>
          <w:szCs w:val="24"/>
        </w:rPr>
        <w:t xml:space="preserve"> the vertical category of caste</w:t>
      </w:r>
      <w:r w:rsidRPr="0006508F">
        <w:rPr>
          <w:rFonts w:ascii="Lato" w:hAnsi="Lato" w:cs="Times New Roman"/>
          <w:sz w:val="24"/>
          <w:szCs w:val="24"/>
        </w:rPr>
        <w:t xml:space="preserve"> to reach the constitutional guarantees of equality.</w:t>
      </w:r>
      <w:r w:rsidRPr="0006508F">
        <w:rPr>
          <w:rStyle w:val="FootnoteReference"/>
          <w:rFonts w:ascii="Lato" w:hAnsi="Lato" w:cs="Times New Roman"/>
          <w:sz w:val="24"/>
          <w:szCs w:val="24"/>
        </w:rPr>
        <w:footnoteReference w:id="29"/>
      </w:r>
      <w:r w:rsidRPr="0006508F">
        <w:rPr>
          <w:rFonts w:ascii="Lato" w:hAnsi="Lato" w:cs="Times New Roman"/>
          <w:sz w:val="24"/>
          <w:szCs w:val="24"/>
        </w:rPr>
        <w:t xml:space="preserve"> Such a vertical reservation policy for transgender persons that recognises them as a separate ‘socially and educationally backward class’ </w:t>
      </w:r>
      <w:r w:rsidR="00F91607" w:rsidRPr="0006508F">
        <w:rPr>
          <w:rFonts w:ascii="Lato" w:hAnsi="Lato" w:cs="Times New Roman"/>
          <w:sz w:val="24"/>
          <w:szCs w:val="24"/>
        </w:rPr>
        <w:t>would fail</w:t>
      </w:r>
      <w:r w:rsidRPr="0006508F">
        <w:rPr>
          <w:rFonts w:ascii="Lato" w:hAnsi="Lato" w:cs="Times New Roman"/>
          <w:sz w:val="24"/>
          <w:szCs w:val="24"/>
        </w:rPr>
        <w:t xml:space="preserve"> to address discrimination</w:t>
      </w:r>
      <w:r w:rsidRPr="0006508F">
        <w:rPr>
          <w:rStyle w:val="FootnoteReference"/>
          <w:rFonts w:ascii="Lato" w:hAnsi="Lato" w:cs="Times New Roman"/>
          <w:sz w:val="24"/>
          <w:szCs w:val="24"/>
        </w:rPr>
        <w:footnoteReference w:id="30"/>
      </w:r>
      <w:r w:rsidRPr="0006508F">
        <w:rPr>
          <w:rFonts w:ascii="Lato" w:hAnsi="Lato" w:cs="Times New Roman"/>
          <w:sz w:val="24"/>
          <w:szCs w:val="24"/>
        </w:rPr>
        <w:t xml:space="preserve"> that occurs at the intersections </w:t>
      </w:r>
      <w:r w:rsidR="00061ABB" w:rsidRPr="0006508F">
        <w:rPr>
          <w:rFonts w:ascii="Lato" w:hAnsi="Lato" w:cs="Times New Roman"/>
          <w:sz w:val="24"/>
          <w:szCs w:val="24"/>
        </w:rPr>
        <w:t xml:space="preserve">of gender and other identities </w:t>
      </w:r>
      <w:r w:rsidRPr="0006508F">
        <w:rPr>
          <w:rFonts w:ascii="Lato" w:hAnsi="Lato" w:cs="Times New Roman"/>
          <w:sz w:val="24"/>
          <w:szCs w:val="24"/>
        </w:rPr>
        <w:t>such as caste. Categori</w:t>
      </w:r>
      <w:r w:rsidR="00061ABB" w:rsidRPr="0006508F">
        <w:rPr>
          <w:rFonts w:ascii="Lato" w:hAnsi="Lato" w:cs="Times New Roman"/>
          <w:sz w:val="24"/>
          <w:szCs w:val="24"/>
        </w:rPr>
        <w:t>sing transgender persons as a ‘socially and educationally backward class’</w:t>
      </w:r>
      <w:r w:rsidRPr="0006508F">
        <w:rPr>
          <w:rFonts w:ascii="Lato" w:hAnsi="Lato" w:cs="Times New Roman"/>
          <w:sz w:val="24"/>
          <w:szCs w:val="24"/>
        </w:rPr>
        <w:t xml:space="preserve"> assumes homogeneity in the</w:t>
      </w:r>
      <w:r w:rsidR="00061ABB" w:rsidRPr="0006508F">
        <w:rPr>
          <w:rFonts w:ascii="Lato" w:hAnsi="Lato" w:cs="Times New Roman"/>
          <w:sz w:val="24"/>
          <w:szCs w:val="24"/>
        </w:rPr>
        <w:t>ir</w:t>
      </w:r>
      <w:r w:rsidRPr="0006508F">
        <w:rPr>
          <w:rFonts w:ascii="Lato" w:hAnsi="Lato" w:cs="Times New Roman"/>
          <w:sz w:val="24"/>
          <w:szCs w:val="24"/>
        </w:rPr>
        <w:t xml:space="preserve"> social position, a concern which has been voiced by various </w:t>
      </w:r>
      <w:r w:rsidRPr="0006508F">
        <w:rPr>
          <w:rFonts w:ascii="Lato" w:hAnsi="Lato" w:cs="Times New Roman"/>
          <w:sz w:val="24"/>
          <w:szCs w:val="24"/>
        </w:rPr>
        <w:lastRenderedPageBreak/>
        <w:t>sections of the community</w:t>
      </w:r>
      <w:r w:rsidRPr="0006508F">
        <w:rPr>
          <w:rStyle w:val="FootnoteReference"/>
          <w:rFonts w:ascii="Lato" w:hAnsi="Lato" w:cs="Times New Roman"/>
          <w:sz w:val="24"/>
          <w:szCs w:val="24"/>
        </w:rPr>
        <w:footnoteReference w:id="31"/>
      </w:r>
      <w:r w:rsidRPr="0006508F">
        <w:rPr>
          <w:rFonts w:ascii="Lato" w:hAnsi="Lato" w:cs="Times New Roman"/>
          <w:sz w:val="24"/>
          <w:szCs w:val="24"/>
        </w:rPr>
        <w:t xml:space="preserve">. </w:t>
      </w:r>
      <w:r w:rsidR="00F91607" w:rsidRPr="0006508F">
        <w:rPr>
          <w:rFonts w:ascii="Lato" w:hAnsi="Lato" w:cs="Times New Roman"/>
          <w:sz w:val="24"/>
          <w:szCs w:val="24"/>
        </w:rPr>
        <w:t xml:space="preserve">It would not address the discrimination faced by </w:t>
      </w:r>
      <w:proofErr w:type="spellStart"/>
      <w:r w:rsidR="00F91607" w:rsidRPr="0006508F">
        <w:rPr>
          <w:rFonts w:ascii="Lato" w:hAnsi="Lato" w:cs="Times New Roman"/>
          <w:sz w:val="24"/>
          <w:szCs w:val="24"/>
        </w:rPr>
        <w:t>Dalit</w:t>
      </w:r>
      <w:proofErr w:type="spellEnd"/>
      <w:r w:rsidR="00F91607" w:rsidRPr="0006508F">
        <w:rPr>
          <w:rFonts w:ascii="Lato" w:hAnsi="Lato" w:cs="Times New Roman"/>
          <w:sz w:val="24"/>
          <w:szCs w:val="24"/>
        </w:rPr>
        <w:t xml:space="preserve"> or </w:t>
      </w:r>
      <w:proofErr w:type="spellStart"/>
      <w:r w:rsidR="00F91607" w:rsidRPr="0006508F">
        <w:rPr>
          <w:rFonts w:ascii="Lato" w:hAnsi="Lato" w:cs="Times New Roman"/>
          <w:sz w:val="24"/>
          <w:szCs w:val="24"/>
        </w:rPr>
        <w:t>Adivasi</w:t>
      </w:r>
      <w:proofErr w:type="spellEnd"/>
      <w:r w:rsidR="00F91607" w:rsidRPr="0006508F">
        <w:rPr>
          <w:rFonts w:ascii="Lato" w:hAnsi="Lato" w:cs="Times New Roman"/>
          <w:sz w:val="24"/>
          <w:szCs w:val="24"/>
        </w:rPr>
        <w:t xml:space="preserve"> </w:t>
      </w:r>
      <w:proofErr w:type="gramStart"/>
      <w:r w:rsidR="00F91607" w:rsidRPr="0006508F">
        <w:rPr>
          <w:rFonts w:ascii="Lato" w:hAnsi="Lato" w:cs="Times New Roman"/>
          <w:sz w:val="24"/>
          <w:szCs w:val="24"/>
        </w:rPr>
        <w:t>trans</w:t>
      </w:r>
      <w:proofErr w:type="gramEnd"/>
      <w:r w:rsidR="00F91607" w:rsidRPr="0006508F">
        <w:rPr>
          <w:rFonts w:ascii="Lato" w:hAnsi="Lato" w:cs="Times New Roman"/>
          <w:sz w:val="24"/>
          <w:szCs w:val="24"/>
        </w:rPr>
        <w:t xml:space="preserve"> persons, because placing them in the vertical category would give them a separate status and would not enable them to be place under the separate quotas for SC, ST or OBC. It would also mean that </w:t>
      </w:r>
      <w:proofErr w:type="gramStart"/>
      <w:r w:rsidR="00F91607" w:rsidRPr="0006508F">
        <w:rPr>
          <w:rFonts w:ascii="Lato" w:hAnsi="Lato" w:cs="Times New Roman"/>
          <w:sz w:val="24"/>
          <w:szCs w:val="24"/>
        </w:rPr>
        <w:t>trans</w:t>
      </w:r>
      <w:proofErr w:type="gramEnd"/>
      <w:r w:rsidR="00F91607" w:rsidRPr="0006508F">
        <w:rPr>
          <w:rFonts w:ascii="Lato" w:hAnsi="Lato" w:cs="Times New Roman"/>
          <w:sz w:val="24"/>
          <w:szCs w:val="24"/>
        </w:rPr>
        <w:t xml:space="preserve"> persons, on seeking reservations would have to in effect give up their caste identities and all the protections and benefits that are associated with such identities.</w:t>
      </w:r>
    </w:p>
    <w:p w:rsidR="00C90AD5" w:rsidRPr="0006508F" w:rsidRDefault="00203A4B" w:rsidP="00C90AD5">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On the other hand, h</w:t>
      </w:r>
      <w:r w:rsidR="00577A39" w:rsidRPr="0006508F">
        <w:rPr>
          <w:rFonts w:ascii="Lato" w:hAnsi="Lato" w:cs="Times New Roman"/>
          <w:sz w:val="24"/>
          <w:szCs w:val="24"/>
        </w:rPr>
        <w:t xml:space="preserve">orizontal reservations on the basis of ‘gender identity,’ </w:t>
      </w:r>
      <w:r w:rsidR="00C90AD5" w:rsidRPr="0006508F">
        <w:rPr>
          <w:rFonts w:ascii="Lato" w:hAnsi="Lato" w:cs="Times New Roman"/>
          <w:sz w:val="24"/>
          <w:szCs w:val="24"/>
        </w:rPr>
        <w:t>which would cut</w:t>
      </w:r>
      <w:r w:rsidR="00577A39" w:rsidRPr="0006508F">
        <w:rPr>
          <w:rFonts w:ascii="Lato" w:hAnsi="Lato" w:cs="Times New Roman"/>
          <w:sz w:val="24"/>
          <w:szCs w:val="24"/>
        </w:rPr>
        <w:t xml:space="preserve"> across the vertical reservations that exist on the basis of caste identity, will better account for the diverse social positions that  transgender persons occupy, coming from different caste and class backgrounds</w:t>
      </w:r>
      <w:r w:rsidR="00061ABB" w:rsidRPr="0006508F">
        <w:rPr>
          <w:rFonts w:ascii="Lato" w:hAnsi="Lato" w:cs="Times New Roman"/>
          <w:sz w:val="24"/>
          <w:szCs w:val="24"/>
        </w:rPr>
        <w:t>.</w:t>
      </w:r>
      <w:r w:rsidR="00577A39" w:rsidRPr="0006508F">
        <w:rPr>
          <w:rStyle w:val="FootnoteReference"/>
          <w:rFonts w:ascii="Lato" w:hAnsi="Lato" w:cs="Times New Roman"/>
          <w:sz w:val="24"/>
          <w:szCs w:val="24"/>
        </w:rPr>
        <w:footnoteReference w:id="32"/>
      </w:r>
      <w:r w:rsidR="002A38E8" w:rsidRPr="0006508F">
        <w:rPr>
          <w:rFonts w:ascii="Lato" w:hAnsi="Lato" w:cs="Times New Roman"/>
          <w:sz w:val="24"/>
          <w:szCs w:val="24"/>
        </w:rPr>
        <w:t xml:space="preserve"> </w:t>
      </w:r>
      <w:r w:rsidR="00C90AD5" w:rsidRPr="0006508F">
        <w:rPr>
          <w:rFonts w:ascii="Lato" w:hAnsi="Lato" w:cs="Times New Roman"/>
          <w:sz w:val="24"/>
          <w:szCs w:val="24"/>
        </w:rPr>
        <w:t xml:space="preserve">It </w:t>
      </w:r>
      <w:r w:rsidR="002A38E8" w:rsidRPr="0006508F">
        <w:rPr>
          <w:rFonts w:ascii="Lato" w:hAnsi="Lato" w:cs="Times New Roman"/>
          <w:sz w:val="24"/>
          <w:szCs w:val="24"/>
        </w:rPr>
        <w:t>would ensure that transgender persons, particularly from SC and ST communities are not required to give up their caste status while accessing reservations in educational institutions and public employment.</w:t>
      </w:r>
      <w:r w:rsidR="00577A39" w:rsidRPr="0006508F">
        <w:rPr>
          <w:rFonts w:ascii="Lato" w:hAnsi="Lato" w:cs="Times New Roman"/>
          <w:sz w:val="24"/>
          <w:szCs w:val="24"/>
        </w:rPr>
        <w:t xml:space="preserve"> </w:t>
      </w:r>
    </w:p>
    <w:p w:rsidR="00C90AD5" w:rsidRPr="0006508F" w:rsidRDefault="0035044D" w:rsidP="00C90AD5">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A</w:t>
      </w:r>
      <w:r w:rsidR="00577A39" w:rsidRPr="0006508F">
        <w:rPr>
          <w:rFonts w:ascii="Lato" w:hAnsi="Lato" w:cs="Times New Roman"/>
          <w:sz w:val="24"/>
          <w:szCs w:val="24"/>
        </w:rPr>
        <w:t xml:space="preserve"> separate vertical reservation category for transgender persons also ignores the social politics of caste that are at play within the transgender community. </w:t>
      </w:r>
      <w:proofErr w:type="spellStart"/>
      <w:r w:rsidR="00577A39" w:rsidRPr="0006508F">
        <w:rPr>
          <w:rFonts w:ascii="Lato" w:hAnsi="Lato" w:cs="Times New Roman"/>
          <w:sz w:val="24"/>
          <w:szCs w:val="24"/>
        </w:rPr>
        <w:t>Dalit</w:t>
      </w:r>
      <w:proofErr w:type="spellEnd"/>
      <w:r w:rsidR="00577A39" w:rsidRPr="0006508F">
        <w:rPr>
          <w:rFonts w:ascii="Lato" w:hAnsi="Lato" w:cs="Times New Roman"/>
          <w:sz w:val="24"/>
          <w:szCs w:val="24"/>
        </w:rPr>
        <w:t xml:space="preserve"> transgender persons have expressed concerns that they would be required to give up their SC / ST status for a separate OBC vertical category.</w:t>
      </w:r>
      <w:r w:rsidR="00577A39" w:rsidRPr="0006508F">
        <w:rPr>
          <w:rStyle w:val="FootnoteReference"/>
          <w:rFonts w:ascii="Lato" w:hAnsi="Lato" w:cs="Times New Roman"/>
          <w:sz w:val="24"/>
          <w:szCs w:val="24"/>
        </w:rPr>
        <w:footnoteReference w:id="33"/>
      </w:r>
      <w:r w:rsidR="00577A39" w:rsidRPr="0006508F">
        <w:rPr>
          <w:rFonts w:ascii="Lato" w:hAnsi="Lato" w:cs="Times New Roman"/>
          <w:sz w:val="24"/>
          <w:szCs w:val="24"/>
        </w:rPr>
        <w:t xml:space="preserve"> </w:t>
      </w:r>
      <w:r w:rsidR="00C90AD5" w:rsidRPr="0006508F">
        <w:rPr>
          <w:rFonts w:ascii="Lato" w:hAnsi="Lato" w:cs="Times New Roman"/>
          <w:sz w:val="24"/>
          <w:szCs w:val="24"/>
        </w:rPr>
        <w:t>The f</w:t>
      </w:r>
      <w:r w:rsidR="00577A39" w:rsidRPr="0006508F">
        <w:rPr>
          <w:rFonts w:ascii="Lato" w:hAnsi="Lato" w:cs="Times New Roman"/>
          <w:sz w:val="24"/>
          <w:szCs w:val="24"/>
        </w:rPr>
        <w:t>ounder of Trans</w:t>
      </w:r>
      <w:r w:rsidR="00C90AD5" w:rsidRPr="0006508F">
        <w:rPr>
          <w:rFonts w:ascii="Lato" w:hAnsi="Lato" w:cs="Times New Roman"/>
          <w:sz w:val="24"/>
          <w:szCs w:val="24"/>
        </w:rPr>
        <w:t xml:space="preserve"> R</w:t>
      </w:r>
      <w:r w:rsidR="00577A39" w:rsidRPr="0006508F">
        <w:rPr>
          <w:rFonts w:ascii="Lato" w:hAnsi="Lato" w:cs="Times New Roman"/>
          <w:sz w:val="24"/>
          <w:szCs w:val="24"/>
        </w:rPr>
        <w:t xml:space="preserve">ights Now Collective, Grace </w:t>
      </w:r>
      <w:proofErr w:type="spellStart"/>
      <w:r w:rsidR="00577A39" w:rsidRPr="0006508F">
        <w:rPr>
          <w:rFonts w:ascii="Lato" w:hAnsi="Lato" w:cs="Times New Roman"/>
          <w:sz w:val="24"/>
          <w:szCs w:val="24"/>
        </w:rPr>
        <w:t>Banu</w:t>
      </w:r>
      <w:proofErr w:type="spellEnd"/>
      <w:r w:rsidR="002F00E4" w:rsidRPr="0006508F">
        <w:rPr>
          <w:rFonts w:ascii="Lato" w:hAnsi="Lato" w:cs="Times New Roman"/>
          <w:sz w:val="24"/>
          <w:szCs w:val="24"/>
        </w:rPr>
        <w:t xml:space="preserve"> has argued that the concerns of people </w:t>
      </w:r>
      <w:r w:rsidR="00C90AD5" w:rsidRPr="0006508F">
        <w:rPr>
          <w:rFonts w:ascii="Lato" w:hAnsi="Lato" w:cs="Times New Roman"/>
          <w:sz w:val="24"/>
          <w:szCs w:val="24"/>
        </w:rPr>
        <w:t xml:space="preserve">from </w:t>
      </w:r>
      <w:proofErr w:type="spellStart"/>
      <w:r w:rsidR="00C90AD5" w:rsidRPr="0006508F">
        <w:rPr>
          <w:rFonts w:ascii="Lato" w:hAnsi="Lato" w:cs="Times New Roman"/>
          <w:sz w:val="24"/>
          <w:szCs w:val="24"/>
        </w:rPr>
        <w:t>Dalit</w:t>
      </w:r>
      <w:proofErr w:type="spellEnd"/>
      <w:r w:rsidR="00C90AD5" w:rsidRPr="0006508F">
        <w:rPr>
          <w:rFonts w:ascii="Lato" w:hAnsi="Lato" w:cs="Times New Roman"/>
          <w:sz w:val="24"/>
          <w:szCs w:val="24"/>
        </w:rPr>
        <w:t xml:space="preserve"> or </w:t>
      </w:r>
      <w:proofErr w:type="spellStart"/>
      <w:r w:rsidR="00C90AD5" w:rsidRPr="0006508F">
        <w:rPr>
          <w:rFonts w:ascii="Lato" w:hAnsi="Lato" w:cs="Times New Roman"/>
          <w:sz w:val="24"/>
          <w:szCs w:val="24"/>
        </w:rPr>
        <w:t>Adivasu</w:t>
      </w:r>
      <w:proofErr w:type="spellEnd"/>
      <w:r w:rsidR="00C90AD5" w:rsidRPr="0006508F">
        <w:rPr>
          <w:rFonts w:ascii="Lato" w:hAnsi="Lato" w:cs="Times New Roman"/>
          <w:sz w:val="24"/>
          <w:szCs w:val="24"/>
        </w:rPr>
        <w:t xml:space="preserve"> </w:t>
      </w:r>
      <w:r w:rsidR="002F00E4" w:rsidRPr="0006508F">
        <w:rPr>
          <w:rFonts w:ascii="Lato" w:hAnsi="Lato" w:cs="Times New Roman"/>
          <w:sz w:val="24"/>
          <w:szCs w:val="24"/>
        </w:rPr>
        <w:t xml:space="preserve">as well as non-binary </w:t>
      </w:r>
      <w:r w:rsidR="00C90AD5" w:rsidRPr="0006508F">
        <w:rPr>
          <w:rFonts w:ascii="Lato" w:hAnsi="Lato" w:cs="Times New Roman"/>
          <w:sz w:val="24"/>
          <w:szCs w:val="24"/>
        </w:rPr>
        <w:t xml:space="preserve">genders </w:t>
      </w:r>
      <w:r w:rsidR="002F00E4" w:rsidRPr="0006508F">
        <w:rPr>
          <w:rFonts w:ascii="Lato" w:hAnsi="Lato" w:cs="Times New Roman"/>
          <w:sz w:val="24"/>
          <w:szCs w:val="24"/>
        </w:rPr>
        <w:t>tend to be overlooked in the mainstream narratives around caste and gender identity.</w:t>
      </w:r>
      <w:r w:rsidR="00577A39" w:rsidRPr="0006508F">
        <w:rPr>
          <w:rStyle w:val="FootnoteReference"/>
          <w:rFonts w:ascii="Lato" w:hAnsi="Lato" w:cs="Times New Roman"/>
          <w:sz w:val="24"/>
          <w:szCs w:val="24"/>
        </w:rPr>
        <w:footnoteReference w:id="34"/>
      </w:r>
      <w:r w:rsidR="00577A39" w:rsidRPr="0006508F">
        <w:rPr>
          <w:rFonts w:ascii="Lato" w:hAnsi="Lato" w:cs="Times New Roman"/>
          <w:sz w:val="24"/>
          <w:szCs w:val="24"/>
        </w:rPr>
        <w:t xml:space="preserve"> </w:t>
      </w:r>
      <w:r w:rsidR="001570E9" w:rsidRPr="0006508F">
        <w:rPr>
          <w:rFonts w:ascii="Lato" w:hAnsi="Lato" w:cs="Times New Roman"/>
          <w:sz w:val="24"/>
          <w:szCs w:val="24"/>
        </w:rPr>
        <w:t xml:space="preserve">Vertical reservations for transgender persons would </w:t>
      </w:r>
      <w:r w:rsidR="0038063C" w:rsidRPr="0006508F">
        <w:rPr>
          <w:rFonts w:ascii="Lato" w:hAnsi="Lato" w:cs="Times New Roman"/>
          <w:sz w:val="24"/>
          <w:szCs w:val="24"/>
        </w:rPr>
        <w:t xml:space="preserve">also overlook the apprehensions of upper-caste transgender persons who do not want to be identified as ‘OBCs’. </w:t>
      </w:r>
    </w:p>
    <w:p w:rsidR="00577A39" w:rsidRPr="0006508F" w:rsidRDefault="00577A39" w:rsidP="00C90AD5">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 xml:space="preserve">Perhaps the most serious consequence of creating a separate vertical category is that transgender persons from different caste backgrounds are placed in the same </w:t>
      </w:r>
      <w:r w:rsidRPr="0006508F">
        <w:rPr>
          <w:rFonts w:ascii="Lato" w:hAnsi="Lato" w:cs="Times New Roman"/>
          <w:sz w:val="24"/>
          <w:szCs w:val="24"/>
        </w:rPr>
        <w:lastRenderedPageBreak/>
        <w:t>pool to compete for the same positions.</w:t>
      </w:r>
      <w:r w:rsidRPr="0006508F">
        <w:rPr>
          <w:rStyle w:val="FootnoteReference"/>
          <w:rFonts w:ascii="Lato" w:hAnsi="Lato" w:cs="Times New Roman"/>
          <w:sz w:val="24"/>
          <w:szCs w:val="24"/>
        </w:rPr>
        <w:footnoteReference w:id="35"/>
      </w:r>
      <w:r w:rsidR="00BB0F52" w:rsidRPr="0006508F">
        <w:rPr>
          <w:rFonts w:ascii="Lato" w:hAnsi="Lato" w:cs="Times New Roman"/>
          <w:sz w:val="24"/>
          <w:szCs w:val="24"/>
        </w:rPr>
        <w:t xml:space="preserve"> Transgender persons from upper-castes are placed at a higher position in society relative to </w:t>
      </w:r>
      <w:proofErr w:type="spellStart"/>
      <w:r w:rsidR="00BB0F52" w:rsidRPr="0006508F">
        <w:rPr>
          <w:rFonts w:ascii="Lato" w:hAnsi="Lato" w:cs="Times New Roman"/>
          <w:sz w:val="24"/>
          <w:szCs w:val="24"/>
        </w:rPr>
        <w:t>Dalit</w:t>
      </w:r>
      <w:proofErr w:type="spellEnd"/>
      <w:r w:rsidR="00BB0F52" w:rsidRPr="0006508F">
        <w:rPr>
          <w:rFonts w:ascii="Lato" w:hAnsi="Lato" w:cs="Times New Roman"/>
          <w:sz w:val="24"/>
          <w:szCs w:val="24"/>
        </w:rPr>
        <w:t xml:space="preserve"> transgender persons. As</w:t>
      </w:r>
      <w:r w:rsidRPr="0006508F">
        <w:rPr>
          <w:rFonts w:ascii="Lato" w:hAnsi="Lato" w:cs="Times New Roman"/>
          <w:sz w:val="24"/>
          <w:szCs w:val="24"/>
        </w:rPr>
        <w:t xml:space="preserve"> </w:t>
      </w:r>
      <w:r w:rsidR="00DE1F9B" w:rsidRPr="0006508F">
        <w:rPr>
          <w:rFonts w:ascii="Lato" w:hAnsi="Lato" w:cs="Times New Roman"/>
          <w:sz w:val="24"/>
          <w:szCs w:val="24"/>
        </w:rPr>
        <w:t>transgender rights activist</w:t>
      </w:r>
      <w:r w:rsidR="00BB0F52" w:rsidRPr="0006508F">
        <w:rPr>
          <w:rFonts w:ascii="Lato" w:hAnsi="Lato" w:cs="Times New Roman"/>
          <w:sz w:val="24"/>
          <w:szCs w:val="24"/>
        </w:rPr>
        <w:t xml:space="preserve"> Living Smile </w:t>
      </w:r>
      <w:proofErr w:type="spellStart"/>
      <w:r w:rsidR="00BB0F52" w:rsidRPr="0006508F">
        <w:rPr>
          <w:rFonts w:ascii="Lato" w:hAnsi="Lato" w:cs="Times New Roman"/>
          <w:sz w:val="24"/>
          <w:szCs w:val="24"/>
        </w:rPr>
        <w:t>Vidya</w:t>
      </w:r>
      <w:proofErr w:type="spellEnd"/>
      <w:r w:rsidR="00BB0F52" w:rsidRPr="0006508F">
        <w:rPr>
          <w:rFonts w:ascii="Lato" w:hAnsi="Lato" w:cs="Times New Roman"/>
          <w:sz w:val="24"/>
          <w:szCs w:val="24"/>
        </w:rPr>
        <w:t xml:space="preserve"> has noted, </w:t>
      </w:r>
      <w:proofErr w:type="spellStart"/>
      <w:r w:rsidR="00BB0F52" w:rsidRPr="0006508F">
        <w:rPr>
          <w:rFonts w:ascii="Lato" w:hAnsi="Lato" w:cs="Times New Roman"/>
          <w:sz w:val="24"/>
          <w:szCs w:val="24"/>
        </w:rPr>
        <w:t>Dalit</w:t>
      </w:r>
      <w:proofErr w:type="spellEnd"/>
      <w:r w:rsidR="00BB0F52" w:rsidRPr="0006508F">
        <w:rPr>
          <w:rFonts w:ascii="Lato" w:hAnsi="Lato" w:cs="Times New Roman"/>
          <w:sz w:val="24"/>
          <w:szCs w:val="24"/>
        </w:rPr>
        <w:t xml:space="preserve"> transgender persons face a dual “</w:t>
      </w:r>
      <w:r w:rsidR="00BB0F52" w:rsidRPr="0006508F">
        <w:rPr>
          <w:rFonts w:ascii="Lato" w:hAnsi="Lato" w:cs="Times New Roman"/>
          <w:i/>
          <w:sz w:val="24"/>
          <w:szCs w:val="24"/>
        </w:rPr>
        <w:t>occupational fixity</w:t>
      </w:r>
      <w:r w:rsidR="00BB0F52" w:rsidRPr="0006508F">
        <w:rPr>
          <w:rFonts w:ascii="Lato" w:hAnsi="Lato" w:cs="Times New Roman"/>
          <w:sz w:val="24"/>
          <w:szCs w:val="24"/>
        </w:rPr>
        <w:t>” (</w:t>
      </w:r>
      <w:proofErr w:type="spellStart"/>
      <w:r w:rsidR="00BB0F52" w:rsidRPr="0006508F">
        <w:rPr>
          <w:rFonts w:ascii="Lato" w:hAnsi="Lato" w:cs="Times New Roman"/>
          <w:sz w:val="24"/>
          <w:szCs w:val="24"/>
        </w:rPr>
        <w:t>i.e</w:t>
      </w:r>
      <w:proofErr w:type="spellEnd"/>
      <w:r w:rsidR="00BB0F52" w:rsidRPr="0006508F">
        <w:rPr>
          <w:rFonts w:ascii="Lato" w:hAnsi="Lato" w:cs="Times New Roman"/>
          <w:sz w:val="24"/>
          <w:szCs w:val="24"/>
        </w:rPr>
        <w:t xml:space="preserve">: the limitation placed on options for employment) on the basis of belonging to the </w:t>
      </w:r>
      <w:proofErr w:type="spellStart"/>
      <w:r w:rsidR="00BB0F52" w:rsidRPr="0006508F">
        <w:rPr>
          <w:rFonts w:ascii="Lato" w:hAnsi="Lato" w:cs="Times New Roman"/>
          <w:sz w:val="24"/>
          <w:szCs w:val="24"/>
        </w:rPr>
        <w:t>Dalit</w:t>
      </w:r>
      <w:proofErr w:type="spellEnd"/>
      <w:r w:rsidR="00BB0F52" w:rsidRPr="0006508F">
        <w:rPr>
          <w:rFonts w:ascii="Lato" w:hAnsi="Lato" w:cs="Times New Roman"/>
          <w:sz w:val="24"/>
          <w:szCs w:val="24"/>
        </w:rPr>
        <w:t xml:space="preserve"> community as well as belonging to the transgender community</w:t>
      </w:r>
      <w:r w:rsidR="00065F0D" w:rsidRPr="0006508F">
        <w:rPr>
          <w:rFonts w:ascii="Lato" w:hAnsi="Lato" w:cs="Times New Roman"/>
          <w:sz w:val="24"/>
          <w:szCs w:val="24"/>
        </w:rPr>
        <w:t>, and attributes the disenfranchisement of their rights to pursue any other occupation to</w:t>
      </w:r>
      <w:r w:rsidR="00DE1F9B" w:rsidRPr="0006508F">
        <w:rPr>
          <w:rFonts w:ascii="Lato" w:hAnsi="Lato" w:cs="Times New Roman"/>
          <w:sz w:val="24"/>
          <w:szCs w:val="24"/>
        </w:rPr>
        <w:t xml:space="preserve"> extant power structures</w:t>
      </w:r>
      <w:r w:rsidR="00065F0D" w:rsidRPr="0006508F">
        <w:rPr>
          <w:rStyle w:val="FootnoteReference"/>
          <w:rFonts w:ascii="Lato" w:hAnsi="Lato" w:cs="Times New Roman"/>
          <w:sz w:val="24"/>
          <w:szCs w:val="24"/>
        </w:rPr>
        <w:footnoteReference w:id="36"/>
      </w:r>
      <w:r w:rsidR="00DE1F9B" w:rsidRPr="0006508F">
        <w:rPr>
          <w:rFonts w:ascii="Lato" w:hAnsi="Lato" w:cs="Times New Roman"/>
          <w:sz w:val="24"/>
          <w:szCs w:val="24"/>
        </w:rPr>
        <w:t xml:space="preserve"> and </w:t>
      </w:r>
      <w:r w:rsidR="00BB0F52" w:rsidRPr="0006508F">
        <w:rPr>
          <w:rFonts w:ascii="Lato" w:hAnsi="Lato" w:cs="Times New Roman"/>
          <w:sz w:val="24"/>
          <w:szCs w:val="24"/>
        </w:rPr>
        <w:t>face enhanced discrimination and exclusion.</w:t>
      </w:r>
      <w:r w:rsidR="00C90AD5" w:rsidRPr="0006508F">
        <w:rPr>
          <w:rStyle w:val="FootnoteReference"/>
          <w:rFonts w:ascii="Lato" w:hAnsi="Lato" w:cs="Times New Roman"/>
          <w:sz w:val="24"/>
          <w:szCs w:val="24"/>
        </w:rPr>
        <w:footnoteReference w:id="37"/>
      </w:r>
      <w:r w:rsidR="00BB0F52" w:rsidRPr="0006508F">
        <w:rPr>
          <w:rFonts w:ascii="Lato" w:hAnsi="Lato" w:cs="Times New Roman"/>
          <w:sz w:val="24"/>
          <w:szCs w:val="24"/>
        </w:rPr>
        <w:t xml:space="preserve"> </w:t>
      </w:r>
      <w:r w:rsidR="00DE1F9B" w:rsidRPr="0006508F">
        <w:rPr>
          <w:rFonts w:ascii="Lato" w:hAnsi="Lato" w:cs="Times New Roman"/>
          <w:sz w:val="24"/>
          <w:szCs w:val="24"/>
        </w:rPr>
        <w:t>Thus</w:t>
      </w:r>
      <w:r w:rsidRPr="0006508F">
        <w:rPr>
          <w:rFonts w:ascii="Lato" w:hAnsi="Lato" w:cs="Times New Roman"/>
          <w:sz w:val="24"/>
          <w:szCs w:val="24"/>
        </w:rPr>
        <w:t>, in recognition of the structural disadvantages that transgender persons face due to the intersection of their non-normative gender identity and caste status, horizontal reservations coupled with preferential policies that facilitate waiver of fees, relaxation in age limits and qualifying criteria would be more effective in creating the circumstances for transgender persons to enter the formal education system and public employment.</w:t>
      </w:r>
    </w:p>
    <w:p w:rsidR="00B97259" w:rsidRPr="0006508F" w:rsidRDefault="00B97259" w:rsidP="00B97259">
      <w:pPr>
        <w:spacing w:after="0" w:line="360" w:lineRule="auto"/>
        <w:ind w:left="540" w:right="-22" w:firstLine="900"/>
        <w:jc w:val="both"/>
        <w:rPr>
          <w:rFonts w:ascii="Lato" w:hAnsi="Lato" w:cs="Times New Roman"/>
          <w:sz w:val="24"/>
          <w:szCs w:val="24"/>
        </w:rPr>
      </w:pPr>
    </w:p>
    <w:p w:rsidR="00C90AD5" w:rsidRPr="0006508F" w:rsidRDefault="007B716A" w:rsidP="00C90AD5">
      <w:pPr>
        <w:pStyle w:val="ListParagraph"/>
        <w:numPr>
          <w:ilvl w:val="0"/>
          <w:numId w:val="17"/>
        </w:numPr>
        <w:spacing w:after="0" w:line="360" w:lineRule="auto"/>
        <w:ind w:right="-22"/>
        <w:jc w:val="both"/>
        <w:rPr>
          <w:rFonts w:ascii="Lato" w:hAnsi="Lato" w:cs="Times New Roman"/>
          <w:b/>
          <w:sz w:val="24"/>
          <w:szCs w:val="24"/>
          <w:u w:val="single"/>
        </w:rPr>
      </w:pPr>
      <w:r w:rsidRPr="0006508F">
        <w:rPr>
          <w:rFonts w:ascii="Lato" w:hAnsi="Lato" w:cs="Times New Roman"/>
          <w:b/>
          <w:sz w:val="24"/>
          <w:szCs w:val="24"/>
          <w:u w:val="single"/>
        </w:rPr>
        <w:t>Reservations in promotion</w:t>
      </w:r>
      <w:r w:rsidR="006B3746" w:rsidRPr="0006508F">
        <w:rPr>
          <w:rFonts w:ascii="Lato" w:hAnsi="Lato" w:cs="Times New Roman"/>
          <w:b/>
          <w:sz w:val="24"/>
          <w:szCs w:val="24"/>
          <w:u w:val="single"/>
        </w:rPr>
        <w:t xml:space="preserve"> for transgender persons</w:t>
      </w:r>
      <w:r w:rsidRPr="0006508F">
        <w:rPr>
          <w:rFonts w:ascii="Lato" w:hAnsi="Lato" w:cs="Times New Roman"/>
          <w:b/>
          <w:sz w:val="24"/>
          <w:szCs w:val="24"/>
          <w:u w:val="single"/>
        </w:rPr>
        <w:t xml:space="preserve"> </w:t>
      </w:r>
      <w:r w:rsidR="006F548D" w:rsidRPr="0006508F">
        <w:rPr>
          <w:rFonts w:ascii="Lato" w:hAnsi="Lato" w:cs="Times New Roman"/>
          <w:b/>
          <w:sz w:val="24"/>
          <w:szCs w:val="24"/>
          <w:u w:val="single"/>
        </w:rPr>
        <w:t>and allied issues</w:t>
      </w:r>
    </w:p>
    <w:p w:rsidR="00B97259" w:rsidRPr="0006508F" w:rsidRDefault="00B97259" w:rsidP="00B97259">
      <w:pPr>
        <w:spacing w:after="0" w:line="360" w:lineRule="auto"/>
        <w:ind w:left="2700" w:right="-22"/>
        <w:jc w:val="both"/>
        <w:rPr>
          <w:rFonts w:ascii="Lato" w:hAnsi="Lato" w:cs="Times New Roman"/>
          <w:sz w:val="24"/>
          <w:szCs w:val="24"/>
        </w:rPr>
      </w:pPr>
    </w:p>
    <w:p w:rsidR="00C90AD5" w:rsidRPr="0006508F" w:rsidRDefault="005A5168" w:rsidP="00C90AD5">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W</w:t>
      </w:r>
      <w:r w:rsidR="003138C3" w:rsidRPr="0006508F">
        <w:rPr>
          <w:rFonts w:ascii="Lato" w:hAnsi="Lato" w:cs="Times New Roman"/>
          <w:sz w:val="24"/>
          <w:szCs w:val="24"/>
        </w:rPr>
        <w:t>e consider two potential ambiguities that may arise in the context of horizontal reservations for transgender person</w:t>
      </w:r>
      <w:r w:rsidR="00C90AD5" w:rsidRPr="0006508F">
        <w:rPr>
          <w:rFonts w:ascii="Lato" w:hAnsi="Lato" w:cs="Times New Roman"/>
          <w:sz w:val="24"/>
          <w:szCs w:val="24"/>
        </w:rPr>
        <w:t>s</w:t>
      </w:r>
      <w:r w:rsidR="003138C3" w:rsidRPr="0006508F">
        <w:rPr>
          <w:rFonts w:ascii="Lato" w:hAnsi="Lato" w:cs="Times New Roman"/>
          <w:sz w:val="24"/>
          <w:szCs w:val="24"/>
        </w:rPr>
        <w:t xml:space="preserve">: </w:t>
      </w:r>
      <w:r w:rsidR="00E9476C" w:rsidRPr="0006508F">
        <w:rPr>
          <w:rFonts w:ascii="Lato" w:hAnsi="Lato" w:cs="Times New Roman"/>
          <w:sz w:val="24"/>
          <w:szCs w:val="24"/>
        </w:rPr>
        <w:t>(1) promotions in public employment; (2) qualifying conditions in examinations</w:t>
      </w:r>
      <w:r w:rsidR="003138C3" w:rsidRPr="0006508F">
        <w:rPr>
          <w:rFonts w:ascii="Lato" w:hAnsi="Lato" w:cs="Times New Roman"/>
          <w:sz w:val="24"/>
          <w:szCs w:val="24"/>
        </w:rPr>
        <w:t xml:space="preserve">. </w:t>
      </w:r>
    </w:p>
    <w:p w:rsidR="00C90AD5" w:rsidRPr="0006508F" w:rsidRDefault="00FA0C0A" w:rsidP="00C90AD5">
      <w:pPr>
        <w:spacing w:after="0" w:line="360" w:lineRule="auto"/>
        <w:ind w:right="-22" w:firstLine="810"/>
        <w:jc w:val="both"/>
        <w:rPr>
          <w:rFonts w:ascii="Lato" w:hAnsi="Lato" w:cs="Times New Roman"/>
          <w:sz w:val="24"/>
          <w:szCs w:val="24"/>
        </w:rPr>
      </w:pPr>
      <w:r w:rsidRPr="0006508F">
        <w:rPr>
          <w:rFonts w:ascii="Lato" w:hAnsi="Lato" w:cs="Times New Roman"/>
          <w:i/>
          <w:sz w:val="24"/>
          <w:szCs w:val="24"/>
        </w:rPr>
        <w:t>First,</w:t>
      </w:r>
      <w:r w:rsidRPr="0006508F">
        <w:rPr>
          <w:rFonts w:ascii="Lato" w:hAnsi="Lato" w:cs="Times New Roman"/>
          <w:sz w:val="24"/>
          <w:szCs w:val="24"/>
        </w:rPr>
        <w:t xml:space="preserve"> </w:t>
      </w:r>
      <w:r w:rsidR="00DE3534" w:rsidRPr="0006508F">
        <w:rPr>
          <w:rFonts w:ascii="Lato" w:hAnsi="Lato" w:cs="Times New Roman"/>
          <w:sz w:val="24"/>
          <w:szCs w:val="24"/>
        </w:rPr>
        <w:t xml:space="preserve">while </w:t>
      </w:r>
      <w:r w:rsidRPr="0006508F">
        <w:rPr>
          <w:rFonts w:ascii="Lato" w:hAnsi="Lato" w:cs="Times New Roman"/>
          <w:sz w:val="24"/>
          <w:szCs w:val="24"/>
        </w:rPr>
        <w:t>the Constitution recognises re</w:t>
      </w:r>
      <w:r w:rsidR="007936BE" w:rsidRPr="0006508F">
        <w:rPr>
          <w:rFonts w:ascii="Lato" w:hAnsi="Lato" w:cs="Times New Roman"/>
          <w:sz w:val="24"/>
          <w:szCs w:val="24"/>
        </w:rPr>
        <w:t>servations in public employment</w:t>
      </w:r>
      <w:r w:rsidR="00DE3534" w:rsidRPr="0006508F">
        <w:rPr>
          <w:rFonts w:ascii="Lato" w:hAnsi="Lato" w:cs="Times New Roman"/>
          <w:sz w:val="24"/>
          <w:szCs w:val="24"/>
        </w:rPr>
        <w:t>,</w:t>
      </w:r>
      <w:r w:rsidRPr="0006508F">
        <w:rPr>
          <w:rStyle w:val="FootnoteReference"/>
          <w:rFonts w:ascii="Lato" w:hAnsi="Lato" w:cs="Times New Roman"/>
          <w:sz w:val="24"/>
          <w:szCs w:val="24"/>
        </w:rPr>
        <w:footnoteReference w:id="38"/>
      </w:r>
      <w:r w:rsidRPr="0006508F">
        <w:rPr>
          <w:rFonts w:ascii="Lato" w:hAnsi="Lato" w:cs="Times New Roman"/>
          <w:sz w:val="24"/>
          <w:szCs w:val="24"/>
        </w:rPr>
        <w:t xml:space="preserve">  reservations in promotions were only permitted after prolonged litigation and constitutional amendments</w:t>
      </w:r>
      <w:r w:rsidR="00E9476C" w:rsidRPr="0006508F">
        <w:rPr>
          <w:rFonts w:ascii="Lato" w:hAnsi="Lato" w:cs="Times New Roman"/>
          <w:sz w:val="24"/>
          <w:szCs w:val="24"/>
        </w:rPr>
        <w:t xml:space="preserve">. At </w:t>
      </w:r>
      <w:r w:rsidR="00F92B75" w:rsidRPr="0006508F">
        <w:rPr>
          <w:rFonts w:ascii="Lato" w:hAnsi="Lato" w:cs="Times New Roman"/>
          <w:sz w:val="24"/>
          <w:szCs w:val="24"/>
        </w:rPr>
        <w:t xml:space="preserve">present, reservations in promotions </w:t>
      </w:r>
      <w:r w:rsidR="00BB3918" w:rsidRPr="0006508F">
        <w:rPr>
          <w:rFonts w:ascii="Lato" w:hAnsi="Lato" w:cs="Times New Roman"/>
          <w:sz w:val="24"/>
          <w:szCs w:val="24"/>
        </w:rPr>
        <w:t>may be extended only</w:t>
      </w:r>
      <w:r w:rsidR="00E9476C" w:rsidRPr="0006508F">
        <w:rPr>
          <w:rFonts w:ascii="Lato" w:hAnsi="Lato" w:cs="Times New Roman"/>
          <w:sz w:val="24"/>
          <w:szCs w:val="24"/>
        </w:rPr>
        <w:t xml:space="preserve"> to those belonging to a</w:t>
      </w:r>
      <w:r w:rsidR="00BB3918" w:rsidRPr="0006508F">
        <w:rPr>
          <w:rFonts w:ascii="Lato" w:hAnsi="Lato" w:cs="Times New Roman"/>
          <w:sz w:val="24"/>
          <w:szCs w:val="24"/>
        </w:rPr>
        <w:t>n SC and ST community</w:t>
      </w:r>
      <w:r w:rsidR="00E9476C" w:rsidRPr="0006508F">
        <w:rPr>
          <w:rFonts w:ascii="Lato" w:hAnsi="Lato" w:cs="Times New Roman"/>
          <w:sz w:val="24"/>
          <w:szCs w:val="24"/>
        </w:rPr>
        <w:t>.</w:t>
      </w:r>
      <w:r w:rsidR="00E9476C" w:rsidRPr="0006508F">
        <w:rPr>
          <w:rStyle w:val="FootnoteReference"/>
          <w:rFonts w:ascii="Lato" w:hAnsi="Lato" w:cs="Times New Roman"/>
          <w:sz w:val="24"/>
          <w:szCs w:val="24"/>
        </w:rPr>
        <w:footnoteReference w:id="39"/>
      </w:r>
      <w:r w:rsidR="00E9476C" w:rsidRPr="0006508F">
        <w:rPr>
          <w:rFonts w:ascii="Lato" w:hAnsi="Lato" w:cs="Times New Roman"/>
          <w:sz w:val="24"/>
          <w:szCs w:val="24"/>
        </w:rPr>
        <w:t xml:space="preserve"> Furthermore, while providing </w:t>
      </w:r>
      <w:r w:rsidR="00BB3918" w:rsidRPr="0006508F">
        <w:rPr>
          <w:rFonts w:ascii="Lato" w:hAnsi="Lato" w:cs="Times New Roman"/>
          <w:sz w:val="24"/>
          <w:szCs w:val="24"/>
        </w:rPr>
        <w:t>such</w:t>
      </w:r>
      <w:r w:rsidR="00E9476C" w:rsidRPr="0006508F">
        <w:rPr>
          <w:rFonts w:ascii="Lato" w:hAnsi="Lato" w:cs="Times New Roman"/>
          <w:sz w:val="24"/>
          <w:szCs w:val="24"/>
        </w:rPr>
        <w:t xml:space="preserve"> reservations in promotion, the State is required to establish quantifiable data on inadequacy of representation of the group in the particular cadre or post, to justify the </w:t>
      </w:r>
      <w:r w:rsidR="00E9476C" w:rsidRPr="0006508F">
        <w:rPr>
          <w:rFonts w:ascii="Lato" w:hAnsi="Lato" w:cs="Times New Roman"/>
          <w:sz w:val="24"/>
          <w:szCs w:val="24"/>
        </w:rPr>
        <w:lastRenderedPageBreak/>
        <w:t>reservations.</w:t>
      </w:r>
      <w:r w:rsidR="00E9476C" w:rsidRPr="0006508F">
        <w:rPr>
          <w:rStyle w:val="FootnoteReference"/>
          <w:rFonts w:ascii="Lato" w:hAnsi="Lato" w:cs="Times New Roman"/>
          <w:sz w:val="24"/>
          <w:szCs w:val="24"/>
        </w:rPr>
        <w:footnoteReference w:id="40"/>
      </w:r>
      <w:r w:rsidR="00E9476C" w:rsidRPr="0006508F">
        <w:rPr>
          <w:rFonts w:ascii="Lato" w:hAnsi="Lato" w:cs="Times New Roman"/>
          <w:sz w:val="24"/>
          <w:szCs w:val="24"/>
        </w:rPr>
        <w:t xml:space="preserve"> Additionally, the State also must demonstrate that the reservations provided would not compromise efficiency in administration. </w:t>
      </w:r>
    </w:p>
    <w:p w:rsidR="00C90AD5" w:rsidRPr="0006508F" w:rsidRDefault="00E9476C" w:rsidP="00C90AD5">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 xml:space="preserve">However, in the context of horizontal reservations, </w:t>
      </w:r>
      <w:r w:rsidR="00C90AD5" w:rsidRPr="0006508F">
        <w:rPr>
          <w:rFonts w:ascii="Lato" w:hAnsi="Lato" w:cs="Times New Roman"/>
          <w:sz w:val="24"/>
          <w:szCs w:val="24"/>
        </w:rPr>
        <w:t xml:space="preserve">whether </w:t>
      </w:r>
      <w:r w:rsidRPr="0006508F">
        <w:rPr>
          <w:rFonts w:ascii="Lato" w:hAnsi="Lato" w:cs="Times New Roman"/>
          <w:sz w:val="24"/>
          <w:szCs w:val="24"/>
        </w:rPr>
        <w:t xml:space="preserve">similar conditions of establishing backwardness and inadequacy in representation </w:t>
      </w:r>
      <w:r w:rsidR="00C90AD5" w:rsidRPr="0006508F">
        <w:rPr>
          <w:rFonts w:ascii="Lato" w:hAnsi="Lato" w:cs="Times New Roman"/>
          <w:sz w:val="24"/>
          <w:szCs w:val="24"/>
        </w:rPr>
        <w:t xml:space="preserve">would apply is still debated as the </w:t>
      </w:r>
      <w:r w:rsidRPr="0006508F">
        <w:rPr>
          <w:rFonts w:ascii="Lato" w:hAnsi="Lato" w:cs="Times New Roman"/>
          <w:sz w:val="24"/>
          <w:szCs w:val="24"/>
        </w:rPr>
        <w:t xml:space="preserve">Supreme Court </w:t>
      </w:r>
      <w:r w:rsidR="00C90AD5" w:rsidRPr="0006508F">
        <w:rPr>
          <w:rFonts w:ascii="Lato" w:hAnsi="Lato" w:cs="Times New Roman"/>
          <w:sz w:val="24"/>
          <w:szCs w:val="24"/>
        </w:rPr>
        <w:t xml:space="preserve">is considering the question of </w:t>
      </w:r>
      <w:r w:rsidRPr="0006508F">
        <w:rPr>
          <w:rFonts w:ascii="Lato" w:hAnsi="Lato" w:cs="Times New Roman"/>
          <w:sz w:val="24"/>
          <w:szCs w:val="24"/>
        </w:rPr>
        <w:t>reservations in promotions for persons with disabilities</w:t>
      </w:r>
      <w:r w:rsidR="00C90AD5" w:rsidRPr="0006508F">
        <w:rPr>
          <w:rFonts w:ascii="Lato" w:hAnsi="Lato" w:cs="Times New Roman"/>
          <w:sz w:val="24"/>
          <w:szCs w:val="24"/>
        </w:rPr>
        <w:t xml:space="preserve">. </w:t>
      </w:r>
      <w:r w:rsidR="00C90AD5" w:rsidRPr="0006508F">
        <w:rPr>
          <w:rStyle w:val="FootnoteReference"/>
          <w:rFonts w:ascii="Lato" w:hAnsi="Lato" w:cs="Times New Roman"/>
          <w:sz w:val="24"/>
          <w:szCs w:val="24"/>
        </w:rPr>
        <w:t xml:space="preserve"> </w:t>
      </w:r>
      <w:r w:rsidRPr="0006508F">
        <w:rPr>
          <w:rFonts w:ascii="Lato" w:hAnsi="Lato" w:cs="Times New Roman"/>
          <w:sz w:val="24"/>
          <w:szCs w:val="24"/>
        </w:rPr>
        <w:t xml:space="preserve">On a similar rationale, </w:t>
      </w:r>
      <w:r w:rsidR="00C90AD5" w:rsidRPr="0006508F">
        <w:rPr>
          <w:rFonts w:ascii="Lato" w:hAnsi="Lato" w:cs="Times New Roman"/>
          <w:sz w:val="24"/>
          <w:szCs w:val="24"/>
        </w:rPr>
        <w:t xml:space="preserve">if reservations for persons with disabilities is upheld, </w:t>
      </w:r>
      <w:r w:rsidRPr="0006508F">
        <w:rPr>
          <w:rFonts w:ascii="Lato" w:hAnsi="Lato" w:cs="Times New Roman"/>
          <w:sz w:val="24"/>
          <w:szCs w:val="24"/>
        </w:rPr>
        <w:t xml:space="preserve">reservations in promotions for transgender persons would </w:t>
      </w:r>
      <w:r w:rsidR="00C90AD5" w:rsidRPr="0006508F">
        <w:rPr>
          <w:rFonts w:ascii="Lato" w:hAnsi="Lato" w:cs="Times New Roman"/>
          <w:sz w:val="24"/>
          <w:szCs w:val="24"/>
        </w:rPr>
        <w:t xml:space="preserve">also </w:t>
      </w:r>
      <w:r w:rsidRPr="0006508F">
        <w:rPr>
          <w:rFonts w:ascii="Lato" w:hAnsi="Lato" w:cs="Times New Roman"/>
          <w:sz w:val="24"/>
          <w:szCs w:val="24"/>
        </w:rPr>
        <w:t xml:space="preserve">be permissible under the existing constitutional scheme, which may also be clarified and specifically provided for in </w:t>
      </w:r>
      <w:r w:rsidR="00DE3534" w:rsidRPr="0006508F">
        <w:rPr>
          <w:rFonts w:ascii="Lato" w:hAnsi="Lato" w:cs="Times New Roman"/>
          <w:sz w:val="24"/>
          <w:szCs w:val="24"/>
        </w:rPr>
        <w:t>the central legislation</w:t>
      </w:r>
      <w:r w:rsidRPr="0006508F">
        <w:rPr>
          <w:rFonts w:ascii="Lato" w:hAnsi="Lato" w:cs="Times New Roman"/>
          <w:sz w:val="24"/>
          <w:szCs w:val="24"/>
        </w:rPr>
        <w:t xml:space="preserve"> </w:t>
      </w:r>
      <w:r w:rsidR="00DE3534" w:rsidRPr="0006508F">
        <w:rPr>
          <w:rFonts w:ascii="Lato" w:hAnsi="Lato" w:cs="Times New Roman"/>
          <w:sz w:val="24"/>
          <w:szCs w:val="24"/>
        </w:rPr>
        <w:t>suggested in Part 2</w:t>
      </w:r>
      <w:r w:rsidRPr="0006508F">
        <w:rPr>
          <w:rFonts w:ascii="Lato" w:hAnsi="Lato" w:cs="Times New Roman"/>
          <w:sz w:val="24"/>
          <w:szCs w:val="24"/>
        </w:rPr>
        <w:t>.</w:t>
      </w:r>
    </w:p>
    <w:p w:rsidR="00C90AD5" w:rsidRPr="0006508F" w:rsidRDefault="00FA0C0A" w:rsidP="00C90AD5">
      <w:pPr>
        <w:spacing w:after="0" w:line="360" w:lineRule="auto"/>
        <w:ind w:right="-22" w:firstLine="810"/>
        <w:jc w:val="both"/>
        <w:rPr>
          <w:rFonts w:ascii="Lato" w:hAnsi="Lato" w:cs="Times New Roman"/>
          <w:sz w:val="24"/>
          <w:szCs w:val="24"/>
        </w:rPr>
      </w:pPr>
      <w:r w:rsidRPr="0006508F">
        <w:rPr>
          <w:rFonts w:ascii="Lato" w:hAnsi="Lato" w:cs="Times New Roman"/>
          <w:i/>
          <w:sz w:val="24"/>
          <w:szCs w:val="24"/>
        </w:rPr>
        <w:t xml:space="preserve">Second, </w:t>
      </w:r>
      <w:r w:rsidRPr="0006508F">
        <w:rPr>
          <w:rFonts w:ascii="Lato" w:hAnsi="Lato" w:cs="Times New Roman"/>
          <w:sz w:val="24"/>
          <w:szCs w:val="24"/>
        </w:rPr>
        <w:t xml:space="preserve">in the context of qualifying conditions in examinations for people with disabilities, the Supreme Court has held that </w:t>
      </w:r>
      <w:r w:rsidR="003138C3" w:rsidRPr="0006508F">
        <w:rPr>
          <w:rFonts w:ascii="Lato" w:hAnsi="Lato" w:cs="Times New Roman"/>
          <w:sz w:val="24"/>
          <w:szCs w:val="24"/>
        </w:rPr>
        <w:t>horizontal reservation categories like disability are a class unto themselves which must be unaffected by any other reservations accorded on the basis of caste, class, religion etc.</w:t>
      </w:r>
      <w:r w:rsidRPr="0006508F">
        <w:rPr>
          <w:rStyle w:val="FootnoteReference"/>
          <w:rFonts w:ascii="Lato" w:hAnsi="Lato"/>
          <w:i/>
          <w:color w:val="000000"/>
          <w:shd w:val="clear" w:color="auto" w:fill="FFFFFF"/>
        </w:rPr>
        <w:t xml:space="preserve"> </w:t>
      </w:r>
      <w:r w:rsidRPr="0006508F">
        <w:rPr>
          <w:rStyle w:val="FootnoteReference"/>
          <w:rFonts w:ascii="Lato" w:hAnsi="Lato"/>
          <w:i/>
          <w:color w:val="000000"/>
          <w:shd w:val="clear" w:color="auto" w:fill="FFFFFF"/>
        </w:rPr>
        <w:footnoteReference w:id="41"/>
      </w:r>
      <w:r w:rsidR="003138C3" w:rsidRPr="0006508F">
        <w:rPr>
          <w:rFonts w:ascii="Lato" w:hAnsi="Lato" w:cs="Times New Roman"/>
          <w:sz w:val="24"/>
          <w:szCs w:val="24"/>
        </w:rPr>
        <w:t xml:space="preserve"> Consequently, all candidates belonging to this cate</w:t>
      </w:r>
      <w:r w:rsidR="008279D6" w:rsidRPr="0006508F">
        <w:rPr>
          <w:rFonts w:ascii="Lato" w:hAnsi="Lato" w:cs="Times New Roman"/>
          <w:sz w:val="24"/>
          <w:szCs w:val="24"/>
        </w:rPr>
        <w:t>gory have to be treated on par and any relaxations afforded to such persons must be consistent. Similarly, relaxations in qualifying conditions for transgender persons should apply uniformly across the multitude of gender identities recognised by law</w:t>
      </w:r>
      <w:r w:rsidR="0071639F" w:rsidRPr="0006508F">
        <w:rPr>
          <w:rFonts w:ascii="Lato" w:hAnsi="Lato" w:cs="Times New Roman"/>
          <w:sz w:val="24"/>
          <w:szCs w:val="24"/>
        </w:rPr>
        <w:t xml:space="preserve"> and irrespective of their other identities</w:t>
      </w:r>
      <w:r w:rsidR="008279D6" w:rsidRPr="0006508F">
        <w:rPr>
          <w:rFonts w:ascii="Lato" w:hAnsi="Lato" w:cs="Times New Roman"/>
          <w:sz w:val="24"/>
          <w:szCs w:val="24"/>
        </w:rPr>
        <w:t>.</w:t>
      </w:r>
    </w:p>
    <w:p w:rsidR="00C90AD5" w:rsidRPr="0006508F" w:rsidRDefault="001B78F9" w:rsidP="00C90AD5">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Therefore</w:t>
      </w:r>
      <w:r w:rsidR="00873532" w:rsidRPr="0006508F">
        <w:rPr>
          <w:rFonts w:ascii="Lato" w:hAnsi="Lato" w:cs="Times New Roman"/>
          <w:sz w:val="24"/>
          <w:szCs w:val="24"/>
        </w:rPr>
        <w:t>, t</w:t>
      </w:r>
      <w:r w:rsidR="003138C3" w:rsidRPr="0006508F">
        <w:rPr>
          <w:rFonts w:ascii="Lato" w:hAnsi="Lato" w:cs="Times New Roman"/>
          <w:sz w:val="24"/>
          <w:szCs w:val="24"/>
        </w:rPr>
        <w:t xml:space="preserve">hese judgements allow us to argue firstly, that horizontal reservations for transgender persons must not limit themselves to direct </w:t>
      </w:r>
      <w:r w:rsidR="00FA0C0A" w:rsidRPr="0006508F">
        <w:rPr>
          <w:rFonts w:ascii="Lato" w:hAnsi="Lato" w:cs="Times New Roman"/>
          <w:sz w:val="24"/>
          <w:szCs w:val="24"/>
        </w:rPr>
        <w:t>recruitment</w:t>
      </w:r>
      <w:r w:rsidR="003138C3" w:rsidRPr="0006508F">
        <w:rPr>
          <w:rFonts w:ascii="Lato" w:hAnsi="Lato" w:cs="Times New Roman"/>
          <w:sz w:val="24"/>
          <w:szCs w:val="24"/>
        </w:rPr>
        <w:t xml:space="preserve"> but also consider promotions and secondly, that qualifying conditions for admission into educational institutions or public employment must be uniform, where all gender identities are afforded the same relaxations, irrespective of any</w:t>
      </w:r>
      <w:r w:rsidR="0071639F" w:rsidRPr="0006508F">
        <w:rPr>
          <w:rFonts w:ascii="Lato" w:hAnsi="Lato" w:cs="Times New Roman"/>
          <w:sz w:val="24"/>
          <w:szCs w:val="24"/>
        </w:rPr>
        <w:t xml:space="preserve"> other</w:t>
      </w:r>
      <w:r w:rsidR="003138C3" w:rsidRPr="0006508F">
        <w:rPr>
          <w:rFonts w:ascii="Lato" w:hAnsi="Lato" w:cs="Times New Roman"/>
          <w:sz w:val="24"/>
          <w:szCs w:val="24"/>
        </w:rPr>
        <w:t xml:space="preserve"> special measures accorded on the basis of caste, class, religion etc.</w:t>
      </w:r>
    </w:p>
    <w:p w:rsidR="005A5168" w:rsidRPr="0006508F" w:rsidRDefault="005A5168" w:rsidP="00C90AD5">
      <w:pPr>
        <w:spacing w:after="0" w:line="360" w:lineRule="auto"/>
        <w:ind w:right="-22" w:firstLine="810"/>
        <w:jc w:val="both"/>
        <w:rPr>
          <w:rFonts w:ascii="Lato" w:hAnsi="Lato" w:cs="Times New Roman"/>
          <w:sz w:val="24"/>
          <w:szCs w:val="24"/>
        </w:rPr>
      </w:pPr>
      <w:r w:rsidRPr="0006508F">
        <w:rPr>
          <w:rFonts w:ascii="Lato" w:hAnsi="Lato" w:cs="Times New Roman"/>
          <w:sz w:val="24"/>
          <w:szCs w:val="24"/>
        </w:rPr>
        <w:t xml:space="preserve">The final aspect that requires engagement is the extent of quota of reservations for transgender persons. </w:t>
      </w:r>
      <w:r w:rsidRPr="0006508F">
        <w:rPr>
          <w:rFonts w:ascii="Lato" w:hAnsi="Lato" w:cs="Times New Roman"/>
          <w:i/>
          <w:sz w:val="24"/>
          <w:szCs w:val="24"/>
        </w:rPr>
        <w:t>First</w:t>
      </w:r>
      <w:r w:rsidRPr="0006508F">
        <w:rPr>
          <w:rFonts w:ascii="Lato" w:hAnsi="Lato" w:cs="Times New Roman"/>
          <w:sz w:val="24"/>
          <w:szCs w:val="24"/>
        </w:rPr>
        <w:t xml:space="preserve">, this policy brief does not provide a decisive quota, as any decision on the extent of reservations must be based on a detailed and nation-wide empirical exercise. </w:t>
      </w:r>
      <w:r w:rsidRPr="0006508F">
        <w:rPr>
          <w:rFonts w:ascii="Lato" w:hAnsi="Lato" w:cs="Times New Roman"/>
          <w:i/>
          <w:sz w:val="24"/>
          <w:szCs w:val="24"/>
        </w:rPr>
        <w:t>Second</w:t>
      </w:r>
      <w:r w:rsidRPr="0006508F">
        <w:rPr>
          <w:rFonts w:ascii="Lato" w:hAnsi="Lato" w:cs="Times New Roman"/>
          <w:sz w:val="24"/>
          <w:szCs w:val="24"/>
        </w:rPr>
        <w:t xml:space="preserve">, while the Supreme Court held in </w:t>
      </w:r>
      <w:proofErr w:type="spellStart"/>
      <w:r w:rsidRPr="0006508F">
        <w:rPr>
          <w:rFonts w:ascii="Lato" w:hAnsi="Lato" w:cs="Times New Roman"/>
          <w:i/>
          <w:sz w:val="24"/>
          <w:szCs w:val="24"/>
        </w:rPr>
        <w:t>Indra</w:t>
      </w:r>
      <w:proofErr w:type="spellEnd"/>
      <w:r w:rsidRPr="0006508F">
        <w:rPr>
          <w:rFonts w:ascii="Lato" w:hAnsi="Lato" w:cs="Times New Roman"/>
          <w:i/>
          <w:sz w:val="24"/>
          <w:szCs w:val="24"/>
        </w:rPr>
        <w:t xml:space="preserve"> </w:t>
      </w:r>
      <w:proofErr w:type="spellStart"/>
      <w:r w:rsidRPr="0006508F">
        <w:rPr>
          <w:rFonts w:ascii="Lato" w:hAnsi="Lato" w:cs="Times New Roman"/>
          <w:i/>
          <w:sz w:val="24"/>
          <w:szCs w:val="24"/>
        </w:rPr>
        <w:t>Sawhney</w:t>
      </w:r>
      <w:proofErr w:type="spellEnd"/>
      <w:r w:rsidRPr="0006508F">
        <w:rPr>
          <w:rFonts w:ascii="Lato" w:hAnsi="Lato" w:cs="Times New Roman"/>
          <w:sz w:val="24"/>
          <w:szCs w:val="24"/>
        </w:rPr>
        <w:t xml:space="preserve"> that reservations under the vertical category cannot exceed 50% of the posts in a cadre. </w:t>
      </w:r>
      <w:proofErr w:type="gramStart"/>
      <w:r w:rsidRPr="0006508F">
        <w:rPr>
          <w:rFonts w:ascii="Lato" w:hAnsi="Lato" w:cs="Times New Roman"/>
          <w:sz w:val="24"/>
          <w:szCs w:val="24"/>
        </w:rPr>
        <w:t>a</w:t>
      </w:r>
      <w:proofErr w:type="gramEnd"/>
      <w:r w:rsidRPr="0006508F">
        <w:rPr>
          <w:rFonts w:ascii="Lato" w:hAnsi="Lato" w:cs="Times New Roman"/>
          <w:sz w:val="24"/>
          <w:szCs w:val="24"/>
        </w:rPr>
        <w:t xml:space="preserve"> question of limit will not apply to horizontal reservations for transgender persons as they will be</w:t>
      </w:r>
      <w:r w:rsidR="007F0F33" w:rsidRPr="0006508F">
        <w:rPr>
          <w:rFonts w:ascii="Lato" w:hAnsi="Lato" w:cs="Times New Roman"/>
          <w:sz w:val="24"/>
          <w:szCs w:val="24"/>
        </w:rPr>
        <w:t xml:space="preserve"> </w:t>
      </w:r>
      <w:r w:rsidRPr="0006508F">
        <w:rPr>
          <w:rFonts w:ascii="Lato" w:hAnsi="Lato" w:cs="Times New Roman"/>
          <w:sz w:val="24"/>
          <w:szCs w:val="24"/>
        </w:rPr>
        <w:t xml:space="preserve">provided within existing vertical categories. </w:t>
      </w:r>
    </w:p>
    <w:p w:rsidR="00B97259" w:rsidRPr="0006508F" w:rsidRDefault="00B97259" w:rsidP="00B97259">
      <w:pPr>
        <w:spacing w:after="0" w:line="360" w:lineRule="auto"/>
        <w:ind w:left="540" w:right="-22" w:firstLine="900"/>
        <w:jc w:val="both"/>
        <w:rPr>
          <w:rFonts w:ascii="Lato" w:hAnsi="Lato" w:cs="Times New Roman"/>
          <w:sz w:val="24"/>
          <w:szCs w:val="24"/>
        </w:rPr>
      </w:pPr>
    </w:p>
    <w:p w:rsidR="00577A39" w:rsidRPr="0006508F" w:rsidRDefault="00DC3A4E" w:rsidP="00C33412">
      <w:pPr>
        <w:pStyle w:val="ListParagraph"/>
        <w:numPr>
          <w:ilvl w:val="0"/>
          <w:numId w:val="15"/>
        </w:numPr>
        <w:spacing w:after="0" w:line="360" w:lineRule="auto"/>
        <w:ind w:right="-22"/>
        <w:contextualSpacing w:val="0"/>
        <w:rPr>
          <w:rFonts w:ascii="Lato" w:hAnsi="Lato" w:cs="Times New Roman"/>
          <w:b/>
          <w:smallCaps/>
          <w:sz w:val="24"/>
          <w:szCs w:val="24"/>
        </w:rPr>
      </w:pPr>
      <w:r w:rsidRPr="0006508F">
        <w:rPr>
          <w:rFonts w:ascii="Lato" w:hAnsi="Lato" w:cs="Times New Roman"/>
          <w:b/>
          <w:smallCaps/>
          <w:sz w:val="24"/>
          <w:szCs w:val="24"/>
        </w:rPr>
        <w:t xml:space="preserve">Conclusion and </w:t>
      </w:r>
      <w:r w:rsidR="00C90AD5" w:rsidRPr="0006508F">
        <w:rPr>
          <w:rFonts w:ascii="Lato" w:hAnsi="Lato" w:cs="Times New Roman"/>
          <w:b/>
          <w:smallCaps/>
          <w:sz w:val="24"/>
          <w:szCs w:val="24"/>
        </w:rPr>
        <w:t>recommendations</w:t>
      </w:r>
    </w:p>
    <w:p w:rsidR="008A7220" w:rsidRPr="0006508F" w:rsidRDefault="008A7220" w:rsidP="008A7220">
      <w:pPr>
        <w:pStyle w:val="ListParagraph"/>
        <w:spacing w:after="0" w:line="360" w:lineRule="auto"/>
        <w:ind w:left="1080" w:right="-22"/>
        <w:contextualSpacing w:val="0"/>
        <w:rPr>
          <w:rFonts w:ascii="Lato" w:hAnsi="Lato" w:cs="Times New Roman"/>
          <w:b/>
          <w:smallCaps/>
          <w:sz w:val="24"/>
          <w:szCs w:val="24"/>
        </w:rPr>
      </w:pPr>
    </w:p>
    <w:p w:rsidR="00770004" w:rsidRPr="0006508F" w:rsidRDefault="00C90AD5" w:rsidP="00017DF2">
      <w:pPr>
        <w:spacing w:after="0" w:line="360" w:lineRule="auto"/>
        <w:jc w:val="both"/>
        <w:rPr>
          <w:rFonts w:ascii="Lato" w:hAnsi="Lato" w:cs="Times New Roman"/>
          <w:sz w:val="24"/>
          <w:szCs w:val="24"/>
        </w:rPr>
      </w:pPr>
      <w:r w:rsidRPr="0006508F">
        <w:rPr>
          <w:rFonts w:ascii="Lato" w:hAnsi="Lato" w:cs="Times New Roman"/>
          <w:sz w:val="24"/>
          <w:szCs w:val="24"/>
        </w:rPr>
        <w:t xml:space="preserve">Hence on the basis of the above elaboration, it is recommended that </w:t>
      </w:r>
      <w:r w:rsidR="009549D5" w:rsidRPr="0006508F">
        <w:rPr>
          <w:rFonts w:ascii="Lato" w:hAnsi="Lato" w:cs="Times New Roman"/>
          <w:sz w:val="24"/>
          <w:szCs w:val="24"/>
        </w:rPr>
        <w:t>t</w:t>
      </w:r>
      <w:r w:rsidR="00770004" w:rsidRPr="0006508F">
        <w:rPr>
          <w:rFonts w:ascii="Lato" w:hAnsi="Lato" w:cs="Times New Roman"/>
          <w:sz w:val="24"/>
          <w:szCs w:val="24"/>
        </w:rPr>
        <w:t>he Central Government enact legislation which</w:t>
      </w:r>
      <w:r w:rsidR="009549D5" w:rsidRPr="0006508F">
        <w:rPr>
          <w:rFonts w:ascii="Lato" w:hAnsi="Lato" w:cs="Times New Roman"/>
          <w:sz w:val="24"/>
          <w:szCs w:val="24"/>
        </w:rPr>
        <w:t>:</w:t>
      </w:r>
    </w:p>
    <w:p w:rsidR="00770004" w:rsidRPr="0006508F" w:rsidRDefault="00770004" w:rsidP="00017DF2">
      <w:pPr>
        <w:pStyle w:val="ListParagraph"/>
        <w:numPr>
          <w:ilvl w:val="0"/>
          <w:numId w:val="10"/>
        </w:numPr>
        <w:spacing w:after="0" w:line="360" w:lineRule="auto"/>
        <w:jc w:val="both"/>
        <w:rPr>
          <w:rFonts w:ascii="Lato" w:hAnsi="Lato" w:cs="Times New Roman"/>
          <w:sz w:val="24"/>
          <w:szCs w:val="24"/>
        </w:rPr>
      </w:pPr>
      <w:r w:rsidRPr="0006508F">
        <w:rPr>
          <w:rFonts w:ascii="Lato" w:hAnsi="Lato" w:cs="Times New Roman"/>
          <w:sz w:val="24"/>
          <w:szCs w:val="24"/>
        </w:rPr>
        <w:t>Provides a clear definition of “transgender persons” who have access to reservations</w:t>
      </w:r>
      <w:r w:rsidR="00AF595C" w:rsidRPr="0006508F">
        <w:rPr>
          <w:rFonts w:ascii="Lato" w:hAnsi="Lato" w:cs="Times New Roman"/>
          <w:sz w:val="24"/>
          <w:szCs w:val="24"/>
        </w:rPr>
        <w:t xml:space="preserve"> across the country</w:t>
      </w:r>
    </w:p>
    <w:p w:rsidR="00095EEC" w:rsidRPr="0006508F" w:rsidRDefault="00770004" w:rsidP="00017DF2">
      <w:pPr>
        <w:pStyle w:val="ListParagraph"/>
        <w:numPr>
          <w:ilvl w:val="0"/>
          <w:numId w:val="10"/>
        </w:numPr>
        <w:spacing w:after="0" w:line="360" w:lineRule="auto"/>
        <w:contextualSpacing w:val="0"/>
        <w:jc w:val="both"/>
        <w:rPr>
          <w:rFonts w:ascii="Lato" w:hAnsi="Lato" w:cs="Times New Roman"/>
          <w:sz w:val="24"/>
          <w:szCs w:val="24"/>
        </w:rPr>
      </w:pPr>
      <w:r w:rsidRPr="0006508F">
        <w:rPr>
          <w:rFonts w:ascii="Lato" w:hAnsi="Lato" w:cs="Times New Roman"/>
          <w:sz w:val="24"/>
          <w:szCs w:val="24"/>
        </w:rPr>
        <w:t>Implements reservations for transgender persons horizontally to account for intersections of gender identity with caste identity</w:t>
      </w:r>
    </w:p>
    <w:p w:rsidR="009549D5" w:rsidRPr="0006508F" w:rsidRDefault="009549D5" w:rsidP="00017DF2">
      <w:pPr>
        <w:pStyle w:val="ListParagraph"/>
        <w:numPr>
          <w:ilvl w:val="0"/>
          <w:numId w:val="10"/>
        </w:numPr>
        <w:spacing w:after="0" w:line="360" w:lineRule="auto"/>
        <w:contextualSpacing w:val="0"/>
        <w:jc w:val="both"/>
        <w:rPr>
          <w:rFonts w:ascii="Lato" w:hAnsi="Lato" w:cs="Times New Roman"/>
          <w:sz w:val="24"/>
          <w:szCs w:val="24"/>
        </w:rPr>
      </w:pPr>
      <w:r w:rsidRPr="0006508F">
        <w:rPr>
          <w:rFonts w:ascii="Lato" w:hAnsi="Lato" w:cs="Times New Roman"/>
          <w:sz w:val="24"/>
          <w:szCs w:val="24"/>
        </w:rPr>
        <w:t>Specifies the percentage quota of reservation on the basis of empirical research carried out by a central governmental body</w:t>
      </w:r>
    </w:p>
    <w:p w:rsidR="009549D5" w:rsidRPr="0006508F" w:rsidRDefault="009549D5" w:rsidP="00017DF2">
      <w:pPr>
        <w:pStyle w:val="ListParagraph"/>
        <w:numPr>
          <w:ilvl w:val="0"/>
          <w:numId w:val="10"/>
        </w:numPr>
        <w:spacing w:after="0" w:line="360" w:lineRule="auto"/>
        <w:contextualSpacing w:val="0"/>
        <w:jc w:val="both"/>
        <w:rPr>
          <w:rFonts w:ascii="Lato" w:hAnsi="Lato" w:cs="Times New Roman"/>
          <w:sz w:val="24"/>
          <w:szCs w:val="24"/>
        </w:rPr>
      </w:pPr>
      <w:r w:rsidRPr="0006508F">
        <w:rPr>
          <w:rFonts w:ascii="Lato" w:hAnsi="Lato" w:cs="Times New Roman"/>
          <w:sz w:val="24"/>
          <w:szCs w:val="24"/>
        </w:rPr>
        <w:t>Ensures transgender persons have the right to self-identification of gender identity</w:t>
      </w:r>
      <w:r w:rsidR="00C90AD5" w:rsidRPr="0006508F">
        <w:rPr>
          <w:rFonts w:ascii="Lato" w:hAnsi="Lato" w:cs="Times New Roman"/>
          <w:sz w:val="24"/>
          <w:szCs w:val="24"/>
        </w:rPr>
        <w:t xml:space="preserve"> and that a mechanism is provided for such self-identification which is not dependant on medical reassignment</w:t>
      </w:r>
    </w:p>
    <w:p w:rsidR="00952FCF" w:rsidRPr="0006508F" w:rsidRDefault="00017DF2" w:rsidP="00017DF2">
      <w:pPr>
        <w:pStyle w:val="ListParagraph"/>
        <w:numPr>
          <w:ilvl w:val="0"/>
          <w:numId w:val="10"/>
        </w:numPr>
        <w:spacing w:after="0" w:line="360" w:lineRule="auto"/>
        <w:contextualSpacing w:val="0"/>
        <w:jc w:val="both"/>
        <w:rPr>
          <w:rFonts w:ascii="Lato" w:hAnsi="Lato" w:cs="Times New Roman"/>
          <w:sz w:val="24"/>
          <w:szCs w:val="24"/>
        </w:rPr>
      </w:pPr>
      <w:r w:rsidRPr="0006508F">
        <w:rPr>
          <w:rFonts w:ascii="Lato" w:hAnsi="Lato" w:cs="Times New Roman"/>
          <w:sz w:val="24"/>
          <w:szCs w:val="24"/>
        </w:rPr>
        <w:t>Self-Identification processes should d</w:t>
      </w:r>
      <w:r w:rsidR="00952FCF" w:rsidRPr="0006508F">
        <w:rPr>
          <w:rFonts w:ascii="Lato" w:hAnsi="Lato" w:cs="Times New Roman"/>
          <w:sz w:val="24"/>
          <w:szCs w:val="24"/>
        </w:rPr>
        <w:t>iscard physical or biological examinations in th</w:t>
      </w:r>
      <w:r w:rsidRPr="0006508F">
        <w:rPr>
          <w:rFonts w:ascii="Lato" w:hAnsi="Lato" w:cs="Times New Roman"/>
          <w:sz w:val="24"/>
          <w:szCs w:val="24"/>
        </w:rPr>
        <w:t xml:space="preserve">e screening processes, </w:t>
      </w:r>
      <w:r w:rsidR="00AF595C" w:rsidRPr="0006508F">
        <w:rPr>
          <w:rFonts w:ascii="Lato" w:hAnsi="Lato" w:cs="Times New Roman"/>
          <w:sz w:val="24"/>
          <w:szCs w:val="24"/>
        </w:rPr>
        <w:t xml:space="preserve">in accordance with the </w:t>
      </w:r>
      <w:r w:rsidR="00AF595C" w:rsidRPr="0006508F">
        <w:rPr>
          <w:rFonts w:ascii="Lato" w:hAnsi="Lato" w:cs="Times New Roman"/>
          <w:i/>
          <w:sz w:val="24"/>
          <w:szCs w:val="24"/>
        </w:rPr>
        <w:t xml:space="preserve">NALSA </w:t>
      </w:r>
      <w:r w:rsidR="00AF595C" w:rsidRPr="0006508F">
        <w:rPr>
          <w:rFonts w:ascii="Lato" w:hAnsi="Lato" w:cs="Times New Roman"/>
          <w:sz w:val="24"/>
          <w:szCs w:val="24"/>
        </w:rPr>
        <w:t>judgement</w:t>
      </w:r>
    </w:p>
    <w:p w:rsidR="009549D5" w:rsidRPr="0006508F" w:rsidRDefault="009549D5" w:rsidP="00017DF2">
      <w:pPr>
        <w:pStyle w:val="ListParagraph"/>
        <w:spacing w:after="0" w:line="360" w:lineRule="auto"/>
        <w:contextualSpacing w:val="0"/>
        <w:rPr>
          <w:rFonts w:ascii="Lato" w:hAnsi="Lato" w:cs="Times New Roman"/>
          <w:sz w:val="24"/>
          <w:szCs w:val="24"/>
        </w:rPr>
      </w:pPr>
    </w:p>
    <w:sectPr w:rsidR="009549D5" w:rsidRPr="0006508F" w:rsidSect="00F3291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01" w:rsidRDefault="004D7001" w:rsidP="00577A39">
      <w:pPr>
        <w:spacing w:after="0" w:line="240" w:lineRule="auto"/>
      </w:pPr>
      <w:r>
        <w:separator/>
      </w:r>
    </w:p>
  </w:endnote>
  <w:endnote w:type="continuationSeparator" w:id="0">
    <w:p w:rsidR="004D7001" w:rsidRDefault="004D7001" w:rsidP="00577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09678266"/>
      <w:docPartObj>
        <w:docPartGallery w:val="Page Numbers (Bottom of Page)"/>
        <w:docPartUnique/>
      </w:docPartObj>
    </w:sdtPr>
    <w:sdtEndPr>
      <w:rPr>
        <w:noProof/>
      </w:rPr>
    </w:sdtEndPr>
    <w:sdtContent>
      <w:p w:rsidR="00017DF2" w:rsidRPr="00B27E48" w:rsidRDefault="00F32917">
        <w:pPr>
          <w:pStyle w:val="Footer"/>
          <w:jc w:val="center"/>
          <w:rPr>
            <w:rFonts w:ascii="Times New Roman" w:hAnsi="Times New Roman" w:cs="Times New Roman"/>
            <w:sz w:val="24"/>
            <w:szCs w:val="24"/>
          </w:rPr>
        </w:pPr>
        <w:r w:rsidRPr="00B27E48">
          <w:rPr>
            <w:rFonts w:ascii="Times New Roman" w:hAnsi="Times New Roman" w:cs="Times New Roman"/>
            <w:sz w:val="24"/>
            <w:szCs w:val="24"/>
          </w:rPr>
          <w:fldChar w:fldCharType="begin"/>
        </w:r>
        <w:r w:rsidR="00017DF2" w:rsidRPr="00B27E48">
          <w:rPr>
            <w:rFonts w:ascii="Times New Roman" w:hAnsi="Times New Roman" w:cs="Times New Roman"/>
            <w:sz w:val="24"/>
            <w:szCs w:val="24"/>
          </w:rPr>
          <w:instrText xml:space="preserve"> PAGE   \* MERGEFORMAT </w:instrText>
        </w:r>
        <w:r w:rsidRPr="00B27E48">
          <w:rPr>
            <w:rFonts w:ascii="Times New Roman" w:hAnsi="Times New Roman" w:cs="Times New Roman"/>
            <w:sz w:val="24"/>
            <w:szCs w:val="24"/>
          </w:rPr>
          <w:fldChar w:fldCharType="separate"/>
        </w:r>
        <w:r w:rsidR="0006508F">
          <w:rPr>
            <w:rFonts w:ascii="Times New Roman" w:hAnsi="Times New Roman" w:cs="Times New Roman"/>
            <w:noProof/>
            <w:sz w:val="24"/>
            <w:szCs w:val="24"/>
          </w:rPr>
          <w:t>15</w:t>
        </w:r>
        <w:r w:rsidRPr="00B27E48">
          <w:rPr>
            <w:rFonts w:ascii="Times New Roman" w:hAnsi="Times New Roman" w:cs="Times New Roman"/>
            <w:noProof/>
            <w:sz w:val="24"/>
            <w:szCs w:val="24"/>
          </w:rPr>
          <w:fldChar w:fldCharType="end"/>
        </w:r>
      </w:p>
    </w:sdtContent>
  </w:sdt>
  <w:p w:rsidR="00017DF2" w:rsidRPr="00B27E48" w:rsidRDefault="00017DF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01" w:rsidRDefault="004D7001" w:rsidP="00577A39">
      <w:pPr>
        <w:spacing w:after="0" w:line="240" w:lineRule="auto"/>
      </w:pPr>
      <w:r>
        <w:separator/>
      </w:r>
    </w:p>
  </w:footnote>
  <w:footnote w:type="continuationSeparator" w:id="0">
    <w:p w:rsidR="004D7001" w:rsidRDefault="004D7001" w:rsidP="00577A39">
      <w:pPr>
        <w:spacing w:after="0" w:line="240" w:lineRule="auto"/>
      </w:pPr>
      <w:r>
        <w:continuationSeparator/>
      </w:r>
    </w:p>
  </w:footnote>
  <w:footnote w:id="1">
    <w:p w:rsidR="00017DF2" w:rsidRPr="00577A39" w:rsidRDefault="00017DF2" w:rsidP="00295764">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gramStart"/>
      <w:r w:rsidRPr="00577A39">
        <w:rPr>
          <w:rFonts w:ascii="Times New Roman" w:hAnsi="Times New Roman" w:cs="Times New Roman"/>
          <w:i/>
        </w:rPr>
        <w:t xml:space="preserve">NALSA, </w:t>
      </w:r>
      <w:r w:rsidRPr="00577A39">
        <w:rPr>
          <w:rFonts w:ascii="Times New Roman" w:hAnsi="Times New Roman" w:cs="Times New Roman"/>
        </w:rPr>
        <w:t>(2014) 5 SCC 438.</w:t>
      </w:r>
      <w:proofErr w:type="gramEnd"/>
    </w:p>
  </w:footnote>
  <w:footnote w:id="2">
    <w:p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 xml:space="preserve">at </w:t>
      </w:r>
      <w:proofErr w:type="spellStart"/>
      <w:r w:rsidRPr="00577A39">
        <w:rPr>
          <w:rFonts w:ascii="Times New Roman" w:hAnsi="Times New Roman" w:cs="Times New Roman"/>
        </w:rPr>
        <w:t>para</w:t>
      </w:r>
      <w:proofErr w:type="spellEnd"/>
      <w:r w:rsidRPr="00577A39">
        <w:rPr>
          <w:rFonts w:ascii="Times New Roman" w:hAnsi="Times New Roman" w:cs="Times New Roman"/>
        </w:rPr>
        <w:t xml:space="preserve"> 75; </w:t>
      </w:r>
      <w:proofErr w:type="spellStart"/>
      <w:r w:rsidRPr="00577A39">
        <w:rPr>
          <w:rFonts w:ascii="Times New Roman" w:hAnsi="Times New Roman" w:cs="Times New Roman"/>
        </w:rPr>
        <w:t>Dipika</w:t>
      </w:r>
      <w:proofErr w:type="spellEnd"/>
      <w:r w:rsidRPr="00577A39">
        <w:rPr>
          <w:rFonts w:ascii="Times New Roman" w:hAnsi="Times New Roman" w:cs="Times New Roman"/>
        </w:rPr>
        <w:t xml:space="preserve"> Jain, </w:t>
      </w:r>
      <w:r w:rsidRPr="00577A39">
        <w:rPr>
          <w:rFonts w:ascii="Times New Roman" w:hAnsi="Times New Roman" w:cs="Times New Roman"/>
          <w:i/>
        </w:rPr>
        <w:t>Shifting Subjects of State Legibility: Gender Minorities and the Law in India</w:t>
      </w:r>
      <w:r w:rsidRPr="00577A39">
        <w:rPr>
          <w:rFonts w:ascii="Times New Roman" w:hAnsi="Times New Roman" w:cs="Times New Roman"/>
        </w:rPr>
        <w:t>, 32 (1) Berkley Journal of Gender, Law &amp; Justice 39, 48 (2017).</w:t>
      </w:r>
    </w:p>
  </w:footnote>
  <w:footnote w:id="3">
    <w:p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Article 14 applies to all “persons” while Articles 15, 16 and 19 recognise the fundamental rights of a “citizen”.</w:t>
      </w:r>
    </w:p>
  </w:footnote>
  <w:footnote w:id="4">
    <w:p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 xml:space="preserve">at </w:t>
      </w:r>
      <w:proofErr w:type="spellStart"/>
      <w:r w:rsidRPr="00577A39">
        <w:rPr>
          <w:rFonts w:ascii="Times New Roman" w:hAnsi="Times New Roman" w:cs="Times New Roman"/>
        </w:rPr>
        <w:t>para</w:t>
      </w:r>
      <w:proofErr w:type="spellEnd"/>
      <w:r w:rsidRPr="00577A39">
        <w:rPr>
          <w:rFonts w:ascii="Times New Roman" w:hAnsi="Times New Roman" w:cs="Times New Roman"/>
        </w:rPr>
        <w:t xml:space="preserve"> 76; for instance, sex-reassignment surgery</w:t>
      </w:r>
    </w:p>
  </w:footnote>
  <w:footnote w:id="5">
    <w:p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sidRPr="00577A39">
        <w:rPr>
          <w:rFonts w:ascii="Times New Roman" w:hAnsi="Times New Roman" w:cs="Times New Roman"/>
        </w:rPr>
        <w:t xml:space="preserve">at </w:t>
      </w:r>
      <w:proofErr w:type="spellStart"/>
      <w:r w:rsidRPr="00577A39">
        <w:rPr>
          <w:rFonts w:ascii="Times New Roman" w:hAnsi="Times New Roman" w:cs="Times New Roman"/>
        </w:rPr>
        <w:t>para</w:t>
      </w:r>
      <w:proofErr w:type="spellEnd"/>
      <w:r w:rsidRPr="00577A39">
        <w:rPr>
          <w:rFonts w:ascii="Times New Roman" w:hAnsi="Times New Roman" w:cs="Times New Roman"/>
        </w:rPr>
        <w:t xml:space="preserve"> 68.</w:t>
      </w:r>
    </w:p>
  </w:footnote>
  <w:footnote w:id="6">
    <w:p w:rsidR="00017DF2" w:rsidRPr="00577A39" w:rsidRDefault="00017DF2" w:rsidP="00295764">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Pr>
          <w:rFonts w:ascii="Times New Roman" w:hAnsi="Times New Roman" w:cs="Times New Roman"/>
        </w:rPr>
        <w:t xml:space="preserve">at </w:t>
      </w:r>
      <w:proofErr w:type="spellStart"/>
      <w:r>
        <w:rPr>
          <w:rFonts w:ascii="Times New Roman" w:hAnsi="Times New Roman" w:cs="Times New Roman"/>
        </w:rPr>
        <w:t>para</w:t>
      </w:r>
      <w:proofErr w:type="spellEnd"/>
      <w:r>
        <w:rPr>
          <w:rFonts w:ascii="Times New Roman" w:hAnsi="Times New Roman" w:cs="Times New Roman"/>
        </w:rPr>
        <w:t xml:space="preserve"> 69; </w:t>
      </w:r>
      <w:proofErr w:type="spellStart"/>
      <w:r w:rsidRPr="00577A39">
        <w:rPr>
          <w:rFonts w:ascii="Times New Roman" w:hAnsi="Times New Roman" w:cs="Times New Roman"/>
        </w:rPr>
        <w:t>Tarunabh</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Khaitan</w:t>
      </w:r>
      <w:proofErr w:type="spellEnd"/>
      <w:r w:rsidRPr="00577A39">
        <w:rPr>
          <w:rFonts w:ascii="Times New Roman" w:hAnsi="Times New Roman" w:cs="Times New Roman"/>
        </w:rPr>
        <w:t>, NALSA v Union of India: What Courts Say, What Courts Do (Apr. 24, 2014), https://ukconstitutionallaw.org/2014/04/24/tarunabh-khaitan-nalsa-v-union-of-india-what-courts-say-what-courts-do/ (Last visited on Jul. 1, 2018).</w:t>
      </w:r>
    </w:p>
  </w:footnote>
  <w:footnote w:id="7">
    <w:p w:rsidR="00017DF2" w:rsidRDefault="00017DF2" w:rsidP="00295764">
      <w:pPr>
        <w:pStyle w:val="FootnoteText"/>
      </w:pPr>
      <w:r>
        <w:rPr>
          <w:rStyle w:val="FootnoteReference"/>
        </w:rPr>
        <w:footnoteRef/>
      </w:r>
      <w:r>
        <w:t xml:space="preserve"> </w:t>
      </w:r>
      <w:r w:rsidRPr="00577A39">
        <w:rPr>
          <w:rFonts w:ascii="Times New Roman" w:hAnsi="Times New Roman" w:cs="Times New Roman"/>
          <w:i/>
        </w:rPr>
        <w:t xml:space="preserve">NALSA, </w:t>
      </w:r>
      <w:r w:rsidRPr="00577A39">
        <w:rPr>
          <w:rFonts w:ascii="Times New Roman" w:hAnsi="Times New Roman" w:cs="Times New Roman"/>
        </w:rPr>
        <w:t>(2014) 5 SCC 438</w:t>
      </w:r>
      <w:r w:rsidRPr="00577A39">
        <w:rPr>
          <w:rFonts w:ascii="Times New Roman" w:hAnsi="Times New Roman" w:cs="Times New Roman"/>
          <w:i/>
        </w:rPr>
        <w:t xml:space="preserve"> </w:t>
      </w:r>
      <w:r>
        <w:rPr>
          <w:rFonts w:ascii="Times New Roman" w:hAnsi="Times New Roman" w:cs="Times New Roman"/>
        </w:rPr>
        <w:t xml:space="preserve">at </w:t>
      </w:r>
      <w:proofErr w:type="spellStart"/>
      <w:r>
        <w:rPr>
          <w:rFonts w:ascii="Times New Roman" w:hAnsi="Times New Roman" w:cs="Times New Roman"/>
        </w:rPr>
        <w:t>para</w:t>
      </w:r>
      <w:proofErr w:type="spellEnd"/>
      <w:r>
        <w:rPr>
          <w:rFonts w:ascii="Times New Roman" w:hAnsi="Times New Roman" w:cs="Times New Roman"/>
        </w:rPr>
        <w:t xml:space="preserve"> 60.</w:t>
      </w:r>
    </w:p>
  </w:footnote>
  <w:footnote w:id="8">
    <w:p w:rsidR="00017DF2" w:rsidRDefault="00017DF2" w:rsidP="00F21780">
      <w:pPr>
        <w:pStyle w:val="FootnoteText"/>
      </w:pPr>
      <w:r>
        <w:rPr>
          <w:rStyle w:val="FootnoteReference"/>
        </w:rPr>
        <w:footnoteRef/>
      </w:r>
      <w:r>
        <w:t xml:space="preserve"> </w:t>
      </w:r>
    </w:p>
  </w:footnote>
  <w:footnote w:id="9">
    <w:p w:rsidR="00017DF2" w:rsidRPr="00577A39" w:rsidRDefault="00017DF2" w:rsidP="00F21780">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gramStart"/>
      <w:r w:rsidRPr="00577A39">
        <w:rPr>
          <w:rFonts w:ascii="Times New Roman" w:hAnsi="Times New Roman" w:cs="Times New Roman"/>
          <w:i/>
        </w:rPr>
        <w:t>NALSA</w:t>
      </w:r>
      <w:r w:rsidRPr="00577A39">
        <w:rPr>
          <w:rFonts w:ascii="Times New Roman" w:hAnsi="Times New Roman" w:cs="Times New Roman"/>
        </w:rPr>
        <w:t xml:space="preserve">, (2014) 5 SCC 438 at </w:t>
      </w:r>
      <w:proofErr w:type="spellStart"/>
      <w:r w:rsidRPr="00577A39">
        <w:rPr>
          <w:rFonts w:ascii="Times New Roman" w:hAnsi="Times New Roman" w:cs="Times New Roman"/>
        </w:rPr>
        <w:t>para</w:t>
      </w:r>
      <w:proofErr w:type="spellEnd"/>
      <w:r w:rsidRPr="00577A39">
        <w:rPr>
          <w:rFonts w:ascii="Times New Roman" w:hAnsi="Times New Roman" w:cs="Times New Roman"/>
        </w:rPr>
        <w:t xml:space="preserve"> 129.</w:t>
      </w:r>
      <w:proofErr w:type="gramEnd"/>
    </w:p>
  </w:footnote>
  <w:footnote w:id="10">
    <w:p w:rsidR="00017DF2" w:rsidRPr="00577A39" w:rsidRDefault="00017DF2" w:rsidP="00806997">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xml:space="preserve"> Order dated 30 June 2016, </w:t>
      </w:r>
      <w:proofErr w:type="spellStart"/>
      <w:r w:rsidRPr="00577A39">
        <w:rPr>
          <w:rFonts w:ascii="Times New Roman" w:hAnsi="Times New Roman" w:cs="Times New Roman"/>
        </w:rPr>
        <w:t>para</w:t>
      </w:r>
      <w:proofErr w:type="spellEnd"/>
      <w:r w:rsidRPr="00577A39">
        <w:rPr>
          <w:rFonts w:ascii="Times New Roman" w:hAnsi="Times New Roman" w:cs="Times New Roman"/>
        </w:rPr>
        <w:t xml:space="preserve"> 2. </w:t>
      </w:r>
    </w:p>
  </w:footnote>
  <w:footnote w:id="11">
    <w:p w:rsidR="00017DF2" w:rsidRPr="00577A39" w:rsidRDefault="00017DF2" w:rsidP="00806997">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r w:rsidRPr="00577A39">
        <w:rPr>
          <w:rFonts w:ascii="Times New Roman" w:hAnsi="Times New Roman" w:cs="Times New Roman"/>
        </w:rPr>
        <w:t xml:space="preserve"> Order dated 30 June 2016.</w:t>
      </w:r>
    </w:p>
  </w:footnote>
  <w:footnote w:id="12">
    <w:p w:rsidR="00017DF2" w:rsidRPr="00B80C64" w:rsidRDefault="00017DF2">
      <w:pPr>
        <w:pStyle w:val="FootnoteText"/>
        <w:rPr>
          <w:lang w:val="en-US"/>
        </w:rPr>
      </w:pPr>
      <w:r>
        <w:rPr>
          <w:rStyle w:val="FootnoteReference"/>
        </w:rPr>
        <w:footnoteRef/>
      </w:r>
      <w:r>
        <w:t xml:space="preserve"> </w:t>
      </w:r>
      <w:proofErr w:type="spellStart"/>
      <w:r w:rsidRPr="00577A39">
        <w:rPr>
          <w:rFonts w:ascii="Times New Roman" w:hAnsi="Times New Roman" w:cs="Times New Roman"/>
        </w:rPr>
        <w:t>Tritiya</w:t>
      </w:r>
      <w:proofErr w:type="spellEnd"/>
      <w:r w:rsidRPr="00577A39">
        <w:rPr>
          <w:rFonts w:ascii="Times New Roman" w:hAnsi="Times New Roman" w:cs="Times New Roman"/>
        </w:rPr>
        <w:t xml:space="preserve"> Ling </w:t>
      </w:r>
      <w:proofErr w:type="spellStart"/>
      <w:r w:rsidRPr="00577A39">
        <w:rPr>
          <w:rFonts w:ascii="Times New Roman" w:hAnsi="Times New Roman" w:cs="Times New Roman"/>
        </w:rPr>
        <w:t>Varg</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Vyektiyon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Utthan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Sambandh</w:t>
      </w:r>
      <w:proofErr w:type="spellEnd"/>
      <w:r w:rsidRPr="00577A39">
        <w:rPr>
          <w:rFonts w:ascii="Times New Roman" w:hAnsi="Times New Roman" w:cs="Times New Roman"/>
        </w:rPr>
        <w:t xml:space="preserve"> Mein” (On the Empowerment of Third Gender Persons), Government of Chhattisgarh, 2014 (Oct. 10, 2014) as cited in </w:t>
      </w:r>
      <w:proofErr w:type="spellStart"/>
      <w:r w:rsidRPr="00577A39">
        <w:rPr>
          <w:rFonts w:ascii="Times New Roman" w:hAnsi="Times New Roman" w:cs="Times New Roman"/>
        </w:rPr>
        <w:t>Dutta</w:t>
      </w:r>
      <w:proofErr w:type="spellEnd"/>
      <w:r w:rsidRPr="00577A39">
        <w:rPr>
          <w:rFonts w:ascii="Times New Roman" w:hAnsi="Times New Roman" w:cs="Times New Roman"/>
        </w:rPr>
        <w:t xml:space="preserve">, </w:t>
      </w:r>
      <w:r w:rsidRPr="00577A39">
        <w:rPr>
          <w:rFonts w:ascii="Times New Roman" w:hAnsi="Times New Roman" w:cs="Times New Roman"/>
          <w:i/>
        </w:rPr>
        <w:t>supra</w:t>
      </w:r>
      <w:r w:rsidRPr="00577A39">
        <w:rPr>
          <w:rFonts w:ascii="Times New Roman" w:hAnsi="Times New Roman" w:cs="Times New Roman"/>
        </w:rPr>
        <w:t xml:space="preserve"> note 83 at 233; Empowerment of Individuals in Third Gender Community, </w:t>
      </w:r>
      <w:r w:rsidRPr="00577A39">
        <w:rPr>
          <w:rFonts w:ascii="Times New Roman" w:hAnsi="Times New Roman" w:cs="Times New Roman"/>
          <w:smallCaps/>
        </w:rPr>
        <w:t>Social Welfare Department, Government of Chhattisgarh</w:t>
      </w:r>
      <w:r w:rsidRPr="00577A39">
        <w:rPr>
          <w:rFonts w:ascii="Times New Roman" w:hAnsi="Times New Roman" w:cs="Times New Roman"/>
        </w:rPr>
        <w:t>, http://sw.cg.gov.in/en/empowerment-individuals-third-gender-community (Last visited on Jun. 27, 2018).</w:t>
      </w:r>
    </w:p>
  </w:footnote>
  <w:footnote w:id="13">
    <w:p w:rsidR="00017DF2" w:rsidRPr="00577A39" w:rsidRDefault="00017DF2" w:rsidP="00806997">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See</w:t>
      </w:r>
      <w:r w:rsidRPr="00577A39">
        <w:rPr>
          <w:rFonts w:ascii="Times New Roman" w:hAnsi="Times New Roman" w:cs="Times New Roman"/>
        </w:rPr>
        <w:t xml:space="preserve"> “</w:t>
      </w:r>
      <w:proofErr w:type="spellStart"/>
      <w:r w:rsidRPr="00577A39">
        <w:rPr>
          <w:rFonts w:ascii="Times New Roman" w:hAnsi="Times New Roman" w:cs="Times New Roman"/>
        </w:rPr>
        <w:t>Tritiya</w:t>
      </w:r>
      <w:proofErr w:type="spellEnd"/>
      <w:r w:rsidRPr="00577A39">
        <w:rPr>
          <w:rFonts w:ascii="Times New Roman" w:hAnsi="Times New Roman" w:cs="Times New Roman"/>
        </w:rPr>
        <w:t xml:space="preserve"> Ling </w:t>
      </w:r>
      <w:proofErr w:type="spellStart"/>
      <w:r w:rsidRPr="00577A39">
        <w:rPr>
          <w:rFonts w:ascii="Times New Roman" w:hAnsi="Times New Roman" w:cs="Times New Roman"/>
        </w:rPr>
        <w:t>Varg</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Vyektiyon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Utthan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ke</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Sambandh</w:t>
      </w:r>
      <w:proofErr w:type="spellEnd"/>
      <w:r w:rsidRPr="00577A39">
        <w:rPr>
          <w:rFonts w:ascii="Times New Roman" w:hAnsi="Times New Roman" w:cs="Times New Roman"/>
        </w:rPr>
        <w:t xml:space="preserve"> Mein” (On the Empowerment of Third Gender Persons), Government of Chhattisgarh, 2014 (Oct. 10, 2014) as cited in </w:t>
      </w:r>
      <w:proofErr w:type="spellStart"/>
      <w:r w:rsidRPr="00577A39">
        <w:rPr>
          <w:rFonts w:ascii="Times New Roman" w:hAnsi="Times New Roman" w:cs="Times New Roman"/>
        </w:rPr>
        <w:t>Dutta</w:t>
      </w:r>
      <w:proofErr w:type="spellEnd"/>
      <w:r w:rsidRPr="00577A39">
        <w:rPr>
          <w:rFonts w:ascii="Times New Roman" w:hAnsi="Times New Roman" w:cs="Times New Roman"/>
        </w:rPr>
        <w:t xml:space="preserve">, </w:t>
      </w:r>
      <w:r w:rsidRPr="00577A39">
        <w:rPr>
          <w:rFonts w:ascii="Times New Roman" w:hAnsi="Times New Roman" w:cs="Times New Roman"/>
          <w:i/>
        </w:rPr>
        <w:t>supra</w:t>
      </w:r>
      <w:r w:rsidRPr="00577A39">
        <w:rPr>
          <w:rFonts w:ascii="Times New Roman" w:hAnsi="Times New Roman" w:cs="Times New Roman"/>
        </w:rPr>
        <w:t xml:space="preserve"> note 83 at 233; Empowerment of Individuals in Third Gender Community, </w:t>
      </w:r>
      <w:r w:rsidRPr="00577A39">
        <w:rPr>
          <w:rFonts w:ascii="Times New Roman" w:hAnsi="Times New Roman" w:cs="Times New Roman"/>
          <w:smallCaps/>
        </w:rPr>
        <w:t>Social Welfare Department, Government of Chhattisgarh</w:t>
      </w:r>
      <w:r w:rsidRPr="00577A39">
        <w:rPr>
          <w:rFonts w:ascii="Times New Roman" w:hAnsi="Times New Roman" w:cs="Times New Roman"/>
        </w:rPr>
        <w:t>, http://sw.cg.gov.in/en/empowerment-individuals-third-gender-community (Last visited on Jun. 27, 2018).</w:t>
      </w:r>
    </w:p>
  </w:footnote>
  <w:footnote w:id="14">
    <w:p w:rsidR="00017DF2" w:rsidRPr="00577A39" w:rsidRDefault="00017DF2" w:rsidP="00607BC6">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lang w:val="en-US"/>
        </w:rPr>
        <w:t>As well as its precursor, the Persons with Disabilities (Equal Opportunities, Protection of Rights and Full Participation) Act, 1995</w:t>
      </w:r>
    </w:p>
  </w:footnote>
  <w:footnote w:id="15">
    <w:p w:rsidR="00017DF2" w:rsidRDefault="00017DF2" w:rsidP="0023222B">
      <w:pPr>
        <w:pStyle w:val="FootnoteText"/>
      </w:pPr>
      <w:r>
        <w:rPr>
          <w:rStyle w:val="FootnoteReference"/>
        </w:rPr>
        <w:footnoteRef/>
      </w:r>
      <w:r>
        <w:t xml:space="preserve"> State policies for the benefit of transgender persons have been framed in Karnataka, Kerala and Orissa to name a few.</w:t>
      </w:r>
    </w:p>
  </w:footnote>
  <w:footnote w:id="16">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“Article 15 – Prohibition of discrimination on grounds of religion, race, caste, sex or place of birth – </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(1) The State shall not discriminate against any citizen on grounds only of religion, race, caste, sex, </w:t>
      </w:r>
      <w:proofErr w:type="gramStart"/>
      <w:r w:rsidRPr="00577A39">
        <w:rPr>
          <w:rFonts w:ascii="Times New Roman" w:hAnsi="Times New Roman" w:cs="Times New Roman"/>
          <w:sz w:val="20"/>
          <w:szCs w:val="20"/>
        </w:rPr>
        <w:t>place</w:t>
      </w:r>
      <w:proofErr w:type="gramEnd"/>
      <w:r w:rsidRPr="00577A39">
        <w:rPr>
          <w:rFonts w:ascii="Times New Roman" w:hAnsi="Times New Roman" w:cs="Times New Roman"/>
          <w:sz w:val="20"/>
          <w:szCs w:val="20"/>
        </w:rPr>
        <w:t xml:space="preserve"> of birth or any of them. </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(3) Nothing in this article shall prevent the State from making any special provision for women and children.</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(4) Nothing in this article or in clause (2) of article 29 shall prevent the State from making any special provision for the advancement of any socially and educationally backward classes of citizens or for the Scheduled Castes and the Scheduled Tribes.</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(5) Nothing in this article or in sub-clause (g) of clause (1) of article 19 shall prevent the State from making any special provision, by law, for the advancement of any socially and educationally backward classes of citizens or for the Scheduled Castes or the Scheduled Tribes in so far as such special provisions relate to their admission to educational institutions including private educational institutions, whether aided or unaided by the State, other than the minority educational institutions referred to in clause (1) of article 30.”</w:t>
      </w:r>
    </w:p>
  </w:footnote>
  <w:footnote w:id="17">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“Article 16 - Equality of opportunity in matters of public employment – </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(1) There shall be equality of opportunity for all citizens in matters relating to employment or appointment to any office under the State. </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 xml:space="preserve">(2) No citizen shall, on grounds only of religion, race, caste, sex, descent, place of birth, residence or any of them, be ineligible for, or discriminated against in respect of, any employment or office under the State. </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(4) Nothing in this article shall prevent the State from making any provision for the reservation of appointments or posts in favour of any backward class of citizens which, in the opinion of the State, is not adequately represented in the services under the State.</w:t>
      </w:r>
    </w:p>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Fonts w:ascii="Times New Roman" w:hAnsi="Times New Roman" w:cs="Times New Roman"/>
          <w:sz w:val="20"/>
          <w:szCs w:val="20"/>
        </w:rPr>
        <w:t>…”</w:t>
      </w:r>
    </w:p>
  </w:footnote>
  <w:footnote w:id="18">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gramStart"/>
      <w:r w:rsidRPr="00577A39">
        <w:rPr>
          <w:rFonts w:ascii="Times New Roman" w:hAnsi="Times New Roman" w:cs="Times New Roman"/>
        </w:rPr>
        <w:t xml:space="preserve">Marc </w:t>
      </w:r>
      <w:proofErr w:type="spellStart"/>
      <w:r w:rsidRPr="00577A39">
        <w:rPr>
          <w:rFonts w:ascii="Times New Roman" w:hAnsi="Times New Roman" w:cs="Times New Roman"/>
        </w:rPr>
        <w:t>Galanter</w:t>
      </w:r>
      <w:proofErr w:type="spellEnd"/>
      <w:r w:rsidRPr="00577A39">
        <w:rPr>
          <w:rFonts w:ascii="Times New Roman" w:hAnsi="Times New Roman" w:cs="Times New Roman"/>
        </w:rPr>
        <w:t xml:space="preserve">, </w:t>
      </w:r>
      <w:r w:rsidRPr="00577A39">
        <w:rPr>
          <w:rFonts w:ascii="Times New Roman" w:hAnsi="Times New Roman" w:cs="Times New Roman"/>
          <w:i/>
        </w:rPr>
        <w:t>“Protective Discrimination” for Backward Classes in India</w:t>
      </w:r>
      <w:r w:rsidRPr="00577A39">
        <w:rPr>
          <w:rFonts w:ascii="Times New Roman" w:hAnsi="Times New Roman" w:cs="Times New Roman"/>
        </w:rPr>
        <w:t xml:space="preserve">, 3 </w:t>
      </w:r>
      <w:r w:rsidRPr="00577A39">
        <w:rPr>
          <w:rFonts w:ascii="Times New Roman" w:hAnsi="Times New Roman" w:cs="Times New Roman"/>
          <w:smallCaps/>
        </w:rPr>
        <w:t>Indian Law Institute</w:t>
      </w:r>
      <w:r w:rsidRPr="00577A39">
        <w:rPr>
          <w:rFonts w:ascii="Times New Roman" w:hAnsi="Times New Roman" w:cs="Times New Roman"/>
        </w:rPr>
        <w:t>, 39, 47 (1961).</w:t>
      </w:r>
      <w:proofErr w:type="gramEnd"/>
    </w:p>
  </w:footnote>
  <w:footnote w:id="19">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gramStart"/>
      <w:r w:rsidRPr="00577A39">
        <w:rPr>
          <w:rFonts w:ascii="Times New Roman" w:hAnsi="Times New Roman" w:cs="Times New Roman"/>
          <w:i/>
        </w:rPr>
        <w:t>Id.</w:t>
      </w:r>
      <w:r w:rsidRPr="00577A39">
        <w:rPr>
          <w:rFonts w:ascii="Times New Roman" w:hAnsi="Times New Roman" w:cs="Times New Roman"/>
        </w:rPr>
        <w:t xml:space="preserve"> at 48.</w:t>
      </w:r>
      <w:proofErr w:type="gramEnd"/>
    </w:p>
  </w:footnote>
  <w:footnote w:id="20">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In </w:t>
      </w:r>
      <w:proofErr w:type="spellStart"/>
      <w:r w:rsidRPr="00577A39">
        <w:rPr>
          <w:rFonts w:ascii="Times New Roman" w:hAnsi="Times New Roman" w:cs="Times New Roman"/>
        </w:rPr>
        <w:t>Triloki</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Nath</w:t>
      </w:r>
      <w:proofErr w:type="spellEnd"/>
      <w:r w:rsidRPr="00577A39">
        <w:rPr>
          <w:rFonts w:ascii="Times New Roman" w:hAnsi="Times New Roman" w:cs="Times New Roman"/>
        </w:rPr>
        <w:t xml:space="preserve"> &amp; </w:t>
      </w:r>
      <w:proofErr w:type="spellStart"/>
      <w:r w:rsidRPr="00577A39">
        <w:rPr>
          <w:rFonts w:ascii="Times New Roman" w:hAnsi="Times New Roman" w:cs="Times New Roman"/>
        </w:rPr>
        <w:t>Anr</w:t>
      </w:r>
      <w:proofErr w:type="spellEnd"/>
      <w:r w:rsidRPr="00577A39">
        <w:rPr>
          <w:rFonts w:ascii="Times New Roman" w:hAnsi="Times New Roman" w:cs="Times New Roman"/>
        </w:rPr>
        <w:t xml:space="preserve"> v. State of Jammu and Kashmir &amp; Ors, AIR 1969 SC 1, the Supreme Court held that a “class” has been held to be a homogenous section of people grouped together because of certain likeness or common traits and who are identifiable by some common attributes such as status, rank, occupation, residence, race, religion etc. But for the purposes of Article 16(4), a test solely based on caste, community, religion, sex, descent, place of birth or residence cannot be adopted because it would directly offend the Constitution. In </w:t>
      </w:r>
      <w:proofErr w:type="spellStart"/>
      <w:r w:rsidRPr="00577A39">
        <w:rPr>
          <w:rFonts w:ascii="Times New Roman" w:hAnsi="Times New Roman" w:cs="Times New Roman"/>
          <w:i/>
        </w:rPr>
        <w:t>Indra</w:t>
      </w:r>
      <w:proofErr w:type="spellEnd"/>
      <w:r w:rsidRPr="00577A39">
        <w:rPr>
          <w:rFonts w:ascii="Times New Roman" w:hAnsi="Times New Roman" w:cs="Times New Roman"/>
          <w:i/>
        </w:rPr>
        <w:t xml:space="preserve"> </w:t>
      </w:r>
      <w:proofErr w:type="spellStart"/>
      <w:r w:rsidRPr="00577A39">
        <w:rPr>
          <w:rFonts w:ascii="Times New Roman" w:hAnsi="Times New Roman" w:cs="Times New Roman"/>
          <w:i/>
        </w:rPr>
        <w:t>Sawhney</w:t>
      </w:r>
      <w:proofErr w:type="spellEnd"/>
      <w:r w:rsidRPr="00577A39">
        <w:rPr>
          <w:rFonts w:ascii="Times New Roman" w:hAnsi="Times New Roman" w:cs="Times New Roman"/>
        </w:rPr>
        <w:t xml:space="preserve"> too, the court held that while ‘caste’ provides a good starting point to determine ‘backward class of citizens’, factors such as caste, race, sex, religion by themselves cannot be a basis for determination of backwardness.</w:t>
      </w:r>
    </w:p>
  </w:footnote>
  <w:footnote w:id="21">
    <w:p w:rsidR="00017DF2" w:rsidRPr="00577A39" w:rsidRDefault="00017DF2" w:rsidP="00577A39">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which could be with reference to caste or religion (Refer back to previous </w:t>
      </w:r>
      <w:proofErr w:type="spellStart"/>
      <w:r w:rsidRPr="00577A39">
        <w:rPr>
          <w:rFonts w:ascii="Times New Roman" w:hAnsi="Times New Roman" w:cs="Times New Roman"/>
        </w:rPr>
        <w:t>para</w:t>
      </w:r>
      <w:proofErr w:type="spellEnd"/>
      <w:r w:rsidRPr="00577A39">
        <w:rPr>
          <w:rFonts w:ascii="Times New Roman" w:hAnsi="Times New Roman" w:cs="Times New Roman"/>
        </w:rPr>
        <w:t>)</w:t>
      </w:r>
    </w:p>
  </w:footnote>
  <w:footnote w:id="22">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spellStart"/>
      <w:proofErr w:type="gramStart"/>
      <w:r w:rsidRPr="00DE4BC8">
        <w:rPr>
          <w:rFonts w:ascii="Times New Roman" w:hAnsi="Times New Roman" w:cs="Times New Roman"/>
          <w:i/>
        </w:rPr>
        <w:t>Indra</w:t>
      </w:r>
      <w:proofErr w:type="spellEnd"/>
      <w:r w:rsidRPr="00DE4BC8">
        <w:rPr>
          <w:rFonts w:ascii="Times New Roman" w:hAnsi="Times New Roman" w:cs="Times New Roman"/>
          <w:i/>
        </w:rPr>
        <w:t xml:space="preserve"> </w:t>
      </w:r>
      <w:proofErr w:type="spellStart"/>
      <w:r w:rsidRPr="00DE4BC8">
        <w:rPr>
          <w:rFonts w:ascii="Times New Roman" w:hAnsi="Times New Roman" w:cs="Times New Roman"/>
          <w:i/>
        </w:rPr>
        <w:t>Sawhney</w:t>
      </w:r>
      <w:proofErr w:type="spellEnd"/>
      <w:r w:rsidRPr="00DE4BC8">
        <w:rPr>
          <w:rFonts w:ascii="Times New Roman" w:hAnsi="Times New Roman" w:cs="Times New Roman"/>
          <w:i/>
        </w:rPr>
        <w:t xml:space="preserve"> v. Union of India</w:t>
      </w:r>
      <w:r w:rsidRPr="00577A39">
        <w:rPr>
          <w:rFonts w:ascii="Times New Roman" w:hAnsi="Times New Roman" w:cs="Times New Roman"/>
        </w:rPr>
        <w:t>, (1992) Supp (3) SCC 217.</w:t>
      </w:r>
      <w:proofErr w:type="gramEnd"/>
    </w:p>
  </w:footnote>
  <w:footnote w:id="23">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The Supreme Court also noted that the term ‘backward class’ in Article 16(4), referring to social backwardness, is wider than ‘socially and educationally backward classes’ in Article 15(4) and in fact, Scheduled Castes and Scheduled Tribes indubitably fall within the term ‘backward class of citizens’ under Article 16(4).</w:t>
      </w:r>
    </w:p>
  </w:footnote>
  <w:footnote w:id="24">
    <w:p w:rsidR="00017DF2" w:rsidRPr="00577A39" w:rsidRDefault="00017DF2" w:rsidP="00577A39">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NALSA</w:t>
      </w:r>
    </w:p>
  </w:footnote>
  <w:footnote w:id="25">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Rajesh Kumar </w:t>
      </w:r>
      <w:proofErr w:type="spellStart"/>
      <w:r w:rsidRPr="00577A39">
        <w:rPr>
          <w:rFonts w:ascii="Times New Roman" w:hAnsi="Times New Roman" w:cs="Times New Roman"/>
        </w:rPr>
        <w:t>Daria</w:t>
      </w:r>
      <w:proofErr w:type="spellEnd"/>
      <w:r w:rsidRPr="00577A39">
        <w:rPr>
          <w:rFonts w:ascii="Times New Roman" w:hAnsi="Times New Roman" w:cs="Times New Roman"/>
        </w:rPr>
        <w:t xml:space="preserve"> v. Rajasthan Public Services Commission &amp; </w:t>
      </w:r>
      <w:proofErr w:type="gramStart"/>
      <w:r w:rsidRPr="00577A39">
        <w:rPr>
          <w:rFonts w:ascii="Times New Roman" w:hAnsi="Times New Roman" w:cs="Times New Roman"/>
        </w:rPr>
        <w:t>Ors.,</w:t>
      </w:r>
      <w:proofErr w:type="gramEnd"/>
      <w:r w:rsidRPr="00577A39">
        <w:rPr>
          <w:rFonts w:ascii="Times New Roman" w:hAnsi="Times New Roman" w:cs="Times New Roman"/>
        </w:rPr>
        <w:t xml:space="preserve"> (2007) 8 SCC 785. </w:t>
      </w:r>
    </w:p>
  </w:footnote>
  <w:footnote w:id="26">
    <w:p w:rsidR="00017DF2" w:rsidRPr="002836AF" w:rsidRDefault="00017DF2" w:rsidP="003127A4">
      <w:pPr>
        <w:pStyle w:val="FootnoteText"/>
        <w:jc w:val="both"/>
        <w:rPr>
          <w:rFonts w:ascii="Times New Roman" w:hAnsi="Times New Roman" w:cs="Times New Roman"/>
        </w:rPr>
      </w:pPr>
      <w:r w:rsidRPr="002836AF">
        <w:rPr>
          <w:rStyle w:val="FootnoteReference"/>
          <w:rFonts w:ascii="Times New Roman" w:hAnsi="Times New Roman" w:cs="Times New Roman"/>
        </w:rPr>
        <w:footnoteRef/>
      </w:r>
      <w:r w:rsidRPr="002836AF">
        <w:rPr>
          <w:rFonts w:ascii="Times New Roman" w:hAnsi="Times New Roman" w:cs="Times New Roman"/>
        </w:rPr>
        <w:t xml:space="preserve"> </w:t>
      </w:r>
      <w:proofErr w:type="gramStart"/>
      <w:r w:rsidRPr="002836AF">
        <w:rPr>
          <w:rFonts w:ascii="Times New Roman" w:hAnsi="Times New Roman" w:cs="Times New Roman"/>
        </w:rPr>
        <w:t>(1995) 5 SCC 173.</w:t>
      </w:r>
      <w:proofErr w:type="gramEnd"/>
    </w:p>
  </w:footnote>
  <w:footnote w:id="27">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gramStart"/>
      <w:r w:rsidRPr="00577A39">
        <w:rPr>
          <w:rFonts w:ascii="Times New Roman" w:hAnsi="Times New Roman" w:cs="Times New Roman"/>
          <w:i/>
        </w:rPr>
        <w:t xml:space="preserve">Rajesh Kumar </w:t>
      </w:r>
      <w:proofErr w:type="spellStart"/>
      <w:r w:rsidRPr="00577A39">
        <w:rPr>
          <w:rFonts w:ascii="Times New Roman" w:hAnsi="Times New Roman" w:cs="Times New Roman"/>
          <w:i/>
        </w:rPr>
        <w:t>Daria</w:t>
      </w:r>
      <w:proofErr w:type="spellEnd"/>
      <w:r w:rsidRPr="00577A39">
        <w:rPr>
          <w:rFonts w:ascii="Times New Roman" w:hAnsi="Times New Roman" w:cs="Times New Roman"/>
        </w:rPr>
        <w:t>, (2007) 8 SCC 785.</w:t>
      </w:r>
      <w:proofErr w:type="gramEnd"/>
    </w:p>
  </w:footnote>
  <w:footnote w:id="28">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gramStart"/>
      <w:r w:rsidRPr="00577A39">
        <w:rPr>
          <w:rFonts w:ascii="Times New Roman" w:hAnsi="Times New Roman" w:cs="Times New Roman"/>
        </w:rPr>
        <w:t xml:space="preserve">NALSA, (2014) 5 SCC 438 at </w:t>
      </w:r>
      <w:proofErr w:type="spellStart"/>
      <w:r w:rsidRPr="00577A39">
        <w:rPr>
          <w:rFonts w:ascii="Times New Roman" w:hAnsi="Times New Roman" w:cs="Times New Roman"/>
        </w:rPr>
        <w:t>para</w:t>
      </w:r>
      <w:proofErr w:type="spellEnd"/>
      <w:r w:rsidRPr="00577A39">
        <w:rPr>
          <w:rFonts w:ascii="Times New Roman" w:hAnsi="Times New Roman" w:cs="Times New Roman"/>
        </w:rPr>
        <w:t xml:space="preserve"> 59.</w:t>
      </w:r>
      <w:proofErr w:type="gramEnd"/>
    </w:p>
  </w:footnote>
  <w:footnote w:id="29">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spellStart"/>
      <w:r w:rsidRPr="00577A39">
        <w:rPr>
          <w:rFonts w:ascii="Times New Roman" w:hAnsi="Times New Roman" w:cs="Times New Roman"/>
        </w:rPr>
        <w:t>Dutta</w:t>
      </w:r>
      <w:proofErr w:type="spellEnd"/>
      <w:r w:rsidRPr="00577A39">
        <w:rPr>
          <w:rFonts w:ascii="Times New Roman" w:hAnsi="Times New Roman" w:cs="Times New Roman"/>
        </w:rPr>
        <w:t xml:space="preserve">, </w:t>
      </w:r>
      <w:r w:rsidRPr="00577A39">
        <w:rPr>
          <w:rFonts w:ascii="Times New Roman" w:hAnsi="Times New Roman" w:cs="Times New Roman"/>
          <w:i/>
        </w:rPr>
        <w:t>supra</w:t>
      </w:r>
      <w:r w:rsidRPr="00577A39">
        <w:rPr>
          <w:rFonts w:ascii="Times New Roman" w:hAnsi="Times New Roman" w:cs="Times New Roman"/>
        </w:rPr>
        <w:t xml:space="preserve"> note 83 at 234.</w:t>
      </w:r>
    </w:p>
  </w:footnote>
  <w:footnote w:id="30">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The Supreme Court, in </w:t>
      </w:r>
      <w:proofErr w:type="spellStart"/>
      <w:r w:rsidRPr="00577A39">
        <w:rPr>
          <w:rFonts w:ascii="Times New Roman" w:hAnsi="Times New Roman" w:cs="Times New Roman"/>
        </w:rPr>
        <w:t>Rameshbhai</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Dabhai</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Naika</w:t>
      </w:r>
      <w:proofErr w:type="spellEnd"/>
      <w:r w:rsidRPr="00577A39">
        <w:rPr>
          <w:rFonts w:ascii="Times New Roman" w:hAnsi="Times New Roman" w:cs="Times New Roman"/>
        </w:rPr>
        <w:t xml:space="preserve"> v State of Gujarat, in the context of inter-caste marriages and a claim to reservation has recognised that a claim for reservation need not be determined purely on the basis of the inherited caste, but may also be determined on the basis of upbringing and lived experiences. In the content of transgender persons, it could be interpreted to mean that eligibility for reservations need not depend solely on a characteristic acquired at birth but may also be based on one that is acquired socially or over time.</w:t>
      </w:r>
    </w:p>
  </w:footnote>
  <w:footnote w:id="31">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spellStart"/>
      <w:r w:rsidRPr="00577A39">
        <w:rPr>
          <w:rFonts w:ascii="Times New Roman" w:hAnsi="Times New Roman" w:cs="Times New Roman"/>
        </w:rPr>
        <w:t>Shalini</w:t>
      </w:r>
      <w:proofErr w:type="spellEnd"/>
      <w:r w:rsidRPr="00577A39">
        <w:rPr>
          <w:rFonts w:ascii="Times New Roman" w:hAnsi="Times New Roman" w:cs="Times New Roman"/>
        </w:rPr>
        <w:t xml:space="preserve"> Nair, No quota provision under OBC in </w:t>
      </w:r>
      <w:proofErr w:type="spellStart"/>
      <w:r w:rsidRPr="00577A39">
        <w:rPr>
          <w:rFonts w:ascii="Times New Roman" w:hAnsi="Times New Roman" w:cs="Times New Roman"/>
        </w:rPr>
        <w:t>transgenders</w:t>
      </w:r>
      <w:proofErr w:type="spellEnd"/>
      <w:r w:rsidRPr="00577A39">
        <w:rPr>
          <w:rFonts w:ascii="Times New Roman" w:hAnsi="Times New Roman" w:cs="Times New Roman"/>
        </w:rPr>
        <w:t xml:space="preserve"> Bill (Mar. 19, 2018), http://indianexpress.com/article/india/no-quota-provision-under-obc-in-transgenders-bill-5102661/ (Last visited on Jun. 26, 2018); Gee </w:t>
      </w:r>
      <w:proofErr w:type="spellStart"/>
      <w:r w:rsidRPr="00577A39">
        <w:rPr>
          <w:rFonts w:ascii="Times New Roman" w:hAnsi="Times New Roman" w:cs="Times New Roman"/>
        </w:rPr>
        <w:t>Imaan</w:t>
      </w:r>
      <w:proofErr w:type="spellEnd"/>
      <w:r w:rsidRPr="00577A39">
        <w:rPr>
          <w:rFonts w:ascii="Times New Roman" w:hAnsi="Times New Roman" w:cs="Times New Roman"/>
        </w:rPr>
        <w:t xml:space="preserve"> </w:t>
      </w:r>
      <w:proofErr w:type="spellStart"/>
      <w:r w:rsidRPr="00577A39">
        <w:rPr>
          <w:rFonts w:ascii="Times New Roman" w:hAnsi="Times New Roman" w:cs="Times New Roman"/>
        </w:rPr>
        <w:t>Semmalar</w:t>
      </w:r>
      <w:proofErr w:type="spellEnd"/>
      <w:r w:rsidRPr="00577A39">
        <w:rPr>
          <w:rFonts w:ascii="Times New Roman" w:hAnsi="Times New Roman" w:cs="Times New Roman"/>
        </w:rPr>
        <w:t>, Gender Outlawed: The Supreme Court judgment on third gender and its implications</w:t>
      </w:r>
      <w:r>
        <w:rPr>
          <w:rFonts w:ascii="Times New Roman" w:hAnsi="Times New Roman" w:cs="Times New Roman"/>
        </w:rPr>
        <w:t xml:space="preserve"> </w:t>
      </w:r>
      <w:r w:rsidRPr="00577A39">
        <w:rPr>
          <w:rFonts w:ascii="Times New Roman" w:hAnsi="Times New Roman" w:cs="Times New Roman"/>
        </w:rPr>
        <w:t>(Apr. 19, 2014).https://roundtableindia.co.in/index.php?option=com_content&amp;view=article&amp;id=7377:because-we-have-a-voice-too-the-supreme-court-judgment-on-third-gender-and-its-implications&amp;catid=120:gender&amp;Itemid=133</w:t>
      </w:r>
      <w:r w:rsidRPr="00577A39">
        <w:rPr>
          <w:rStyle w:val="Hyperlink"/>
          <w:rFonts w:ascii="Times New Roman" w:hAnsi="Times New Roman" w:cs="Times New Roman"/>
          <w:u w:val="none"/>
        </w:rPr>
        <w:t xml:space="preserve"> </w:t>
      </w:r>
      <w:r w:rsidRPr="00577A39">
        <w:rPr>
          <w:rStyle w:val="Hyperlink"/>
          <w:rFonts w:ascii="Times New Roman" w:hAnsi="Times New Roman" w:cs="Times New Roman"/>
          <w:color w:val="auto"/>
          <w:u w:val="none"/>
        </w:rPr>
        <w:t>(Last visited on Jun. 26, 2018).</w:t>
      </w:r>
    </w:p>
  </w:footnote>
  <w:footnote w:id="32">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spellStart"/>
      <w:r w:rsidRPr="00577A39">
        <w:rPr>
          <w:rFonts w:ascii="Times New Roman" w:hAnsi="Times New Roman" w:cs="Times New Roman"/>
        </w:rPr>
        <w:t>Dutta</w:t>
      </w:r>
      <w:proofErr w:type="spellEnd"/>
      <w:r w:rsidRPr="00577A39">
        <w:rPr>
          <w:rFonts w:ascii="Times New Roman" w:hAnsi="Times New Roman" w:cs="Times New Roman"/>
        </w:rPr>
        <w:t xml:space="preserve">, </w:t>
      </w:r>
      <w:r w:rsidRPr="00577A39">
        <w:rPr>
          <w:rFonts w:ascii="Times New Roman" w:hAnsi="Times New Roman" w:cs="Times New Roman"/>
          <w:i/>
        </w:rPr>
        <w:t>supra</w:t>
      </w:r>
      <w:r w:rsidRPr="00577A39">
        <w:rPr>
          <w:rFonts w:ascii="Times New Roman" w:hAnsi="Times New Roman" w:cs="Times New Roman"/>
        </w:rPr>
        <w:t xml:space="preserve"> note 83 at 234.</w:t>
      </w:r>
    </w:p>
  </w:footnote>
  <w:footnote w:id="33">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rPr>
        <w:t>Id</w:t>
      </w:r>
      <w:r w:rsidRPr="00577A39">
        <w:rPr>
          <w:rFonts w:ascii="Times New Roman" w:hAnsi="Times New Roman" w:cs="Times New Roman"/>
        </w:rPr>
        <w:t xml:space="preserve">. </w:t>
      </w:r>
    </w:p>
  </w:footnote>
  <w:footnote w:id="34">
    <w:p w:rsidR="00017DF2" w:rsidRPr="00577A39" w:rsidRDefault="00017DF2" w:rsidP="00577A39">
      <w:pPr>
        <w:pStyle w:val="FootnoteText"/>
        <w:jc w:val="both"/>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Grace </w:t>
      </w:r>
      <w:proofErr w:type="spellStart"/>
      <w:r w:rsidRPr="00577A39">
        <w:rPr>
          <w:rFonts w:ascii="Times New Roman" w:hAnsi="Times New Roman" w:cs="Times New Roman"/>
        </w:rPr>
        <w:t>Banu</w:t>
      </w:r>
      <w:proofErr w:type="spellEnd"/>
      <w:r w:rsidRPr="00577A39">
        <w:rPr>
          <w:rFonts w:ascii="Times New Roman" w:hAnsi="Times New Roman" w:cs="Times New Roman"/>
        </w:rPr>
        <w:t xml:space="preserve">, Where are the archives of our </w:t>
      </w:r>
      <w:proofErr w:type="spellStart"/>
      <w:r w:rsidRPr="00577A39">
        <w:rPr>
          <w:rFonts w:ascii="Times New Roman" w:hAnsi="Times New Roman" w:cs="Times New Roman"/>
        </w:rPr>
        <w:t>Dalit</w:t>
      </w:r>
      <w:proofErr w:type="spellEnd"/>
      <w:r w:rsidRPr="00577A39">
        <w:rPr>
          <w:rFonts w:ascii="Times New Roman" w:hAnsi="Times New Roman" w:cs="Times New Roman"/>
        </w:rPr>
        <w:t xml:space="preserve"> Trans foremothers and forefathers (Apr. 29, 2018), https://theprint.in/opinion/dalit-history-month/dalit-trans-resilience-is-a-fight-against-caste-and-patriarchy-though-we-are-missing-from-written-archives/53509/ (Last visited on Jul. 1, 2018).</w:t>
      </w:r>
    </w:p>
  </w:footnote>
  <w:footnote w:id="35">
    <w:p w:rsidR="00017DF2" w:rsidRPr="00577A39" w:rsidRDefault="00017DF2" w:rsidP="00577A39">
      <w:pPr>
        <w:spacing w:after="0" w:line="240" w:lineRule="auto"/>
        <w:ind w:right="-22"/>
        <w:jc w:val="both"/>
        <w:rPr>
          <w:rFonts w:ascii="Times New Roman" w:hAnsi="Times New Roman" w:cs="Times New Roman"/>
          <w:sz w:val="20"/>
          <w:szCs w:val="20"/>
        </w:rPr>
      </w:pPr>
      <w:r w:rsidRPr="00577A39">
        <w:rPr>
          <w:rStyle w:val="FootnoteReference"/>
          <w:rFonts w:ascii="Times New Roman" w:hAnsi="Times New Roman" w:cs="Times New Roman"/>
          <w:sz w:val="20"/>
          <w:szCs w:val="20"/>
        </w:rPr>
        <w:footnoteRef/>
      </w:r>
      <w:r w:rsidRPr="00577A39">
        <w:rPr>
          <w:rFonts w:ascii="Times New Roman" w:hAnsi="Times New Roman" w:cs="Times New Roman"/>
          <w:sz w:val="20"/>
          <w:szCs w:val="20"/>
        </w:rPr>
        <w:t xml:space="preserve"> The Supreme Court has on more than one occasion emphasised that the total reservations cannot increase 50%. An additional vertical category of transgender persons would disturb the current structure of vertical reservation of Scheduled Castes, Scheduled Tribes and Other Backward Classes and may not result in fair or adequate representation for the transgender community.</w:t>
      </w:r>
    </w:p>
  </w:footnote>
  <w:footnote w:id="36">
    <w:p w:rsidR="00017DF2" w:rsidRPr="00B20DC0" w:rsidRDefault="00017DF2" w:rsidP="00065F0D">
      <w:pPr>
        <w:pStyle w:val="FootnoteText"/>
        <w:jc w:val="both"/>
        <w:rPr>
          <w:rFonts w:ascii="Times New Roman" w:hAnsi="Times New Roman" w:cs="Times New Roman"/>
          <w:b/>
        </w:rPr>
      </w:pPr>
      <w:r w:rsidRPr="002836AF">
        <w:rPr>
          <w:rStyle w:val="FootnoteReference"/>
          <w:rFonts w:ascii="Times New Roman" w:hAnsi="Times New Roman" w:cs="Times New Roman"/>
        </w:rPr>
        <w:footnoteRef/>
      </w:r>
      <w:r w:rsidRPr="002836AF">
        <w:rPr>
          <w:rFonts w:ascii="Times New Roman" w:hAnsi="Times New Roman" w:cs="Times New Roman"/>
        </w:rPr>
        <w:t xml:space="preserve"> </w:t>
      </w:r>
      <w:r>
        <w:rPr>
          <w:rFonts w:ascii="Times New Roman" w:hAnsi="Times New Roman" w:cs="Times New Roman"/>
        </w:rPr>
        <w:t xml:space="preserve">Interview with Living Smile </w:t>
      </w:r>
      <w:proofErr w:type="spellStart"/>
      <w:r>
        <w:rPr>
          <w:rFonts w:ascii="Times New Roman" w:hAnsi="Times New Roman" w:cs="Times New Roman"/>
        </w:rPr>
        <w:t>Vidya</w:t>
      </w:r>
      <w:proofErr w:type="spellEnd"/>
      <w:r>
        <w:rPr>
          <w:rFonts w:ascii="Times New Roman" w:hAnsi="Times New Roman" w:cs="Times New Roman"/>
        </w:rPr>
        <w:t>, (Trans</w:t>
      </w:r>
      <w:proofErr w:type="gramStart"/>
      <w:r>
        <w:rPr>
          <w:rFonts w:ascii="Times New Roman" w:hAnsi="Times New Roman" w:cs="Times New Roman"/>
        </w:rPr>
        <w:t>)gender</w:t>
      </w:r>
      <w:proofErr w:type="gramEnd"/>
      <w:r>
        <w:rPr>
          <w:rFonts w:ascii="Times New Roman" w:hAnsi="Times New Roman" w:cs="Times New Roman"/>
        </w:rPr>
        <w:t xml:space="preserve"> and caste lived experience – </w:t>
      </w:r>
      <w:proofErr w:type="spellStart"/>
      <w:r>
        <w:rPr>
          <w:rFonts w:ascii="Times New Roman" w:hAnsi="Times New Roman" w:cs="Times New Roman"/>
        </w:rPr>
        <w:t>Transphobia</w:t>
      </w:r>
      <w:proofErr w:type="spellEnd"/>
      <w:r>
        <w:rPr>
          <w:rFonts w:ascii="Times New Roman" w:hAnsi="Times New Roman" w:cs="Times New Roman"/>
        </w:rPr>
        <w:t xml:space="preserve"> as a form of </w:t>
      </w:r>
      <w:proofErr w:type="spellStart"/>
      <w:r>
        <w:rPr>
          <w:rFonts w:ascii="Times New Roman" w:hAnsi="Times New Roman" w:cs="Times New Roman"/>
        </w:rPr>
        <w:t>Brahminism</w:t>
      </w:r>
      <w:proofErr w:type="spellEnd"/>
      <w:r>
        <w:rPr>
          <w:rFonts w:ascii="Times New Roman" w:hAnsi="Times New Roman" w:cs="Times New Roman"/>
        </w:rPr>
        <w:t xml:space="preserve"> (Jan. 26, 2013), </w:t>
      </w:r>
      <w:r w:rsidRPr="00567BFB">
        <w:rPr>
          <w:rFonts w:ascii="Times New Roman" w:hAnsi="Times New Roman" w:cs="Times New Roman"/>
        </w:rPr>
        <w:t>http://sanhati.com/excerpted/6051/</w:t>
      </w:r>
      <w:r w:rsidRPr="002836AF">
        <w:rPr>
          <w:rFonts w:ascii="Times New Roman" w:hAnsi="Times New Roman" w:cs="Times New Roman"/>
        </w:rPr>
        <w:t xml:space="preserve"> </w:t>
      </w:r>
      <w:r>
        <w:rPr>
          <w:rFonts w:ascii="Times New Roman" w:hAnsi="Times New Roman" w:cs="Times New Roman"/>
        </w:rPr>
        <w:t>(Last visited on Jul. 1, 2018).</w:t>
      </w:r>
    </w:p>
  </w:footnote>
  <w:footnote w:id="37">
    <w:p w:rsidR="00017DF2" w:rsidRPr="00C90AD5" w:rsidRDefault="00017DF2">
      <w:pPr>
        <w:pStyle w:val="FootnoteText"/>
        <w:rPr>
          <w:lang w:val="en-US"/>
        </w:rPr>
      </w:pPr>
      <w:r>
        <w:rPr>
          <w:rStyle w:val="FootnoteReference"/>
        </w:rPr>
        <w:footnoteRef/>
      </w:r>
      <w:r>
        <w:t xml:space="preserve"> </w:t>
      </w:r>
      <w:r>
        <w:rPr>
          <w:lang w:val="en-US"/>
        </w:rPr>
        <w:t xml:space="preserve">Living Smile </w:t>
      </w:r>
      <w:proofErr w:type="spellStart"/>
      <w:r>
        <w:rPr>
          <w:lang w:val="en-US"/>
        </w:rPr>
        <w:t>Vidya</w:t>
      </w:r>
      <w:proofErr w:type="spellEnd"/>
    </w:p>
  </w:footnote>
  <w:footnote w:id="38">
    <w:p w:rsidR="00017DF2" w:rsidRPr="00577A39" w:rsidRDefault="00017DF2" w:rsidP="00FA0C0A">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gramStart"/>
      <w:r w:rsidRPr="00577A39">
        <w:rPr>
          <w:rFonts w:ascii="Times New Roman" w:hAnsi="Times New Roman" w:cs="Times New Roman"/>
        </w:rPr>
        <w:t xml:space="preserve">Article 16(4A), Constitution of India, 1950; </w:t>
      </w:r>
      <w:proofErr w:type="spellStart"/>
      <w:r w:rsidRPr="00577A39">
        <w:rPr>
          <w:rFonts w:ascii="Times New Roman" w:hAnsi="Times New Roman" w:cs="Times New Roman"/>
        </w:rPr>
        <w:t>Nagaraj</w:t>
      </w:r>
      <w:proofErr w:type="spellEnd"/>
      <w:r w:rsidRPr="00577A39">
        <w:rPr>
          <w:rFonts w:ascii="Times New Roman" w:hAnsi="Times New Roman" w:cs="Times New Roman"/>
        </w:rPr>
        <w:t xml:space="preserve"> v. Union of India, (2006) 8 SCC 212.</w:t>
      </w:r>
      <w:proofErr w:type="gramEnd"/>
    </w:p>
  </w:footnote>
  <w:footnote w:id="39">
    <w:p w:rsidR="00017DF2" w:rsidRPr="00577A39" w:rsidRDefault="00017DF2" w:rsidP="00E9476C">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A</w:t>
      </w:r>
    </w:p>
  </w:footnote>
  <w:footnote w:id="40">
    <w:p w:rsidR="00017DF2" w:rsidRPr="00577A39" w:rsidRDefault="00017DF2" w:rsidP="00E9476C">
      <w:pPr>
        <w:pStyle w:val="FootnoteText"/>
        <w:rPr>
          <w:rFonts w:ascii="Times New Roman" w:hAnsi="Times New Roman" w:cs="Times New Roman"/>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proofErr w:type="spellStart"/>
      <w:proofErr w:type="gramStart"/>
      <w:r w:rsidRPr="00577A39">
        <w:rPr>
          <w:rFonts w:ascii="Times New Roman" w:hAnsi="Times New Roman" w:cs="Times New Roman"/>
          <w:i/>
        </w:rPr>
        <w:t>Jarnail</w:t>
      </w:r>
      <w:proofErr w:type="spellEnd"/>
      <w:r w:rsidRPr="00577A39">
        <w:rPr>
          <w:rFonts w:ascii="Times New Roman" w:hAnsi="Times New Roman" w:cs="Times New Roman"/>
          <w:i/>
        </w:rPr>
        <w:t xml:space="preserve"> Singh &amp; Ors.</w:t>
      </w:r>
      <w:proofErr w:type="gramEnd"/>
      <w:r w:rsidRPr="00577A39">
        <w:rPr>
          <w:rFonts w:ascii="Times New Roman" w:hAnsi="Times New Roman" w:cs="Times New Roman"/>
        </w:rPr>
        <w:t xml:space="preserve"> </w:t>
      </w:r>
      <w:proofErr w:type="gramStart"/>
      <w:r w:rsidRPr="00577A39">
        <w:rPr>
          <w:rFonts w:ascii="Times New Roman" w:hAnsi="Times New Roman" w:cs="Times New Roman"/>
        </w:rPr>
        <w:t>v</w:t>
      </w:r>
      <w:proofErr w:type="gramEnd"/>
      <w:r w:rsidRPr="00577A39">
        <w:rPr>
          <w:rFonts w:ascii="Times New Roman" w:hAnsi="Times New Roman" w:cs="Times New Roman"/>
        </w:rPr>
        <w:t xml:space="preserve">. </w:t>
      </w:r>
      <w:proofErr w:type="spellStart"/>
      <w:r w:rsidRPr="00577A39">
        <w:rPr>
          <w:rFonts w:ascii="Times New Roman" w:hAnsi="Times New Roman" w:cs="Times New Roman"/>
          <w:i/>
        </w:rPr>
        <w:t>Lachhmi</w:t>
      </w:r>
      <w:proofErr w:type="spellEnd"/>
      <w:r w:rsidRPr="00577A39">
        <w:rPr>
          <w:rFonts w:ascii="Times New Roman" w:hAnsi="Times New Roman" w:cs="Times New Roman"/>
          <w:i/>
        </w:rPr>
        <w:t xml:space="preserve"> </w:t>
      </w:r>
      <w:proofErr w:type="spellStart"/>
      <w:r w:rsidRPr="00577A39">
        <w:rPr>
          <w:rFonts w:ascii="Times New Roman" w:hAnsi="Times New Roman" w:cs="Times New Roman"/>
          <w:i/>
        </w:rPr>
        <w:t>Narain</w:t>
      </w:r>
      <w:proofErr w:type="spellEnd"/>
      <w:r w:rsidRPr="00577A39">
        <w:rPr>
          <w:rFonts w:ascii="Times New Roman" w:hAnsi="Times New Roman" w:cs="Times New Roman"/>
          <w:i/>
        </w:rPr>
        <w:t xml:space="preserve"> Gupta &amp; Ors., </w:t>
      </w:r>
      <w:r w:rsidRPr="00577A39">
        <w:rPr>
          <w:rFonts w:ascii="Times New Roman" w:hAnsi="Times New Roman" w:cs="Times New Roman"/>
        </w:rPr>
        <w:t>Special Leave Petition (C) No. 30621 of 2011 dated 26 September 2018.</w:t>
      </w:r>
    </w:p>
  </w:footnote>
  <w:footnote w:id="41">
    <w:p w:rsidR="00017DF2" w:rsidRPr="00577A39" w:rsidRDefault="00017DF2" w:rsidP="00FA0C0A">
      <w:pPr>
        <w:pStyle w:val="FootnoteText"/>
        <w:rPr>
          <w:rFonts w:ascii="Times New Roman" w:hAnsi="Times New Roman" w:cs="Times New Roman"/>
          <w:lang w:val="en-US"/>
        </w:rPr>
      </w:pPr>
      <w:r w:rsidRPr="00577A39">
        <w:rPr>
          <w:rStyle w:val="FootnoteReference"/>
          <w:rFonts w:ascii="Times New Roman" w:hAnsi="Times New Roman" w:cs="Times New Roman"/>
        </w:rPr>
        <w:footnoteRef/>
      </w:r>
      <w:r w:rsidRPr="00577A39">
        <w:rPr>
          <w:rFonts w:ascii="Times New Roman" w:hAnsi="Times New Roman" w:cs="Times New Roman"/>
        </w:rPr>
        <w:t xml:space="preserve"> </w:t>
      </w:r>
      <w:r w:rsidRPr="00577A39">
        <w:rPr>
          <w:rFonts w:ascii="Times New Roman" w:hAnsi="Times New Roman" w:cs="Times New Roman"/>
          <w:i/>
          <w:color w:val="000000"/>
          <w:shd w:val="clear" w:color="auto" w:fill="FFFFFF"/>
        </w:rPr>
        <w:t xml:space="preserve">Union of India </w:t>
      </w:r>
      <w:r w:rsidRPr="00577A39">
        <w:rPr>
          <w:rFonts w:ascii="Times New Roman" w:hAnsi="Times New Roman" w:cs="Times New Roman"/>
          <w:color w:val="000000"/>
          <w:shd w:val="clear" w:color="auto" w:fill="FFFFFF"/>
        </w:rPr>
        <w:t>v.</w:t>
      </w:r>
      <w:r w:rsidRPr="00577A39">
        <w:rPr>
          <w:rFonts w:ascii="Times New Roman" w:hAnsi="Times New Roman" w:cs="Times New Roman"/>
          <w:i/>
          <w:color w:val="000000"/>
          <w:shd w:val="clear" w:color="auto" w:fill="FFFFFF"/>
        </w:rPr>
        <w:t xml:space="preserve"> M. </w:t>
      </w:r>
      <w:proofErr w:type="spellStart"/>
      <w:r w:rsidRPr="00577A39">
        <w:rPr>
          <w:rFonts w:ascii="Times New Roman" w:hAnsi="Times New Roman" w:cs="Times New Roman"/>
          <w:i/>
          <w:color w:val="000000"/>
          <w:shd w:val="clear" w:color="auto" w:fill="FFFFFF"/>
        </w:rPr>
        <w:t>Selvakumar</w:t>
      </w:r>
      <w:proofErr w:type="spellEnd"/>
      <w:r w:rsidRPr="00577A39">
        <w:rPr>
          <w:rFonts w:ascii="Times New Roman" w:hAnsi="Times New Roman" w:cs="Times New Roman"/>
        </w:rPr>
        <w:t>, (2017) 3 SCC 504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7E3"/>
    <w:multiLevelType w:val="hybridMultilevel"/>
    <w:tmpl w:val="CE4CC96C"/>
    <w:lvl w:ilvl="0" w:tplc="DE46A8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CF32B0"/>
    <w:multiLevelType w:val="hybridMultilevel"/>
    <w:tmpl w:val="95381B8A"/>
    <w:lvl w:ilvl="0" w:tplc="FEE4226A">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D37118"/>
    <w:multiLevelType w:val="multilevel"/>
    <w:tmpl w:val="D7CC5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E05E6D"/>
    <w:multiLevelType w:val="hybridMultilevel"/>
    <w:tmpl w:val="7F70566C"/>
    <w:lvl w:ilvl="0" w:tplc="C708FF52">
      <w:start w:val="3"/>
      <w:numFmt w:val="upp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9D6787"/>
    <w:multiLevelType w:val="hybridMultilevel"/>
    <w:tmpl w:val="6B2CD596"/>
    <w:lvl w:ilvl="0" w:tplc="8EE2FF52">
      <w:start w:val="1"/>
      <w:numFmt w:val="lowerRoman"/>
      <w:lvlText w:val="(%1)"/>
      <w:lvlJc w:val="right"/>
      <w:pPr>
        <w:ind w:left="720" w:hanging="360"/>
      </w:pPr>
      <w:rPr>
        <w:rFonts w:ascii="Book Antiqua" w:eastAsiaTheme="minorHAns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4652A"/>
    <w:multiLevelType w:val="hybridMultilevel"/>
    <w:tmpl w:val="3922552C"/>
    <w:lvl w:ilvl="0" w:tplc="A440A5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694038"/>
    <w:multiLevelType w:val="hybridMultilevel"/>
    <w:tmpl w:val="B5AE6C68"/>
    <w:lvl w:ilvl="0" w:tplc="83DE3A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79429CD"/>
    <w:multiLevelType w:val="hybridMultilevel"/>
    <w:tmpl w:val="7A5A419E"/>
    <w:lvl w:ilvl="0" w:tplc="18CCA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F11EB"/>
    <w:multiLevelType w:val="hybridMultilevel"/>
    <w:tmpl w:val="537AF952"/>
    <w:lvl w:ilvl="0" w:tplc="EA6027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73C53"/>
    <w:multiLevelType w:val="hybridMultilevel"/>
    <w:tmpl w:val="94D8A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62FF9"/>
    <w:multiLevelType w:val="hybridMultilevel"/>
    <w:tmpl w:val="A45CCA9A"/>
    <w:lvl w:ilvl="0" w:tplc="13B08DB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190E94"/>
    <w:multiLevelType w:val="hybridMultilevel"/>
    <w:tmpl w:val="0CD0E3C8"/>
    <w:lvl w:ilvl="0" w:tplc="F9FA9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CE0AE8"/>
    <w:multiLevelType w:val="hybridMultilevel"/>
    <w:tmpl w:val="FAB0E92C"/>
    <w:lvl w:ilvl="0" w:tplc="C48A6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80E2E"/>
    <w:multiLevelType w:val="hybridMultilevel"/>
    <w:tmpl w:val="81422A8C"/>
    <w:lvl w:ilvl="0" w:tplc="CD409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A7EA8"/>
    <w:multiLevelType w:val="hybridMultilevel"/>
    <w:tmpl w:val="13168258"/>
    <w:lvl w:ilvl="0" w:tplc="96C22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64C6E"/>
    <w:multiLevelType w:val="hybridMultilevel"/>
    <w:tmpl w:val="25FA5318"/>
    <w:lvl w:ilvl="0" w:tplc="45205260">
      <w:start w:val="1"/>
      <w:numFmt w:val="lowerLetter"/>
      <w:lvlText w:val="%1."/>
      <w:lvlJc w:val="left"/>
      <w:pPr>
        <w:ind w:left="720" w:hanging="360"/>
      </w:pPr>
      <w:rPr>
        <w:rFonts w:ascii="Book Antiqua" w:eastAsiaTheme="minorHAnsi"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5313D"/>
    <w:multiLevelType w:val="hybridMultilevel"/>
    <w:tmpl w:val="E7E02A7C"/>
    <w:lvl w:ilvl="0" w:tplc="90080F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1316095"/>
    <w:multiLevelType w:val="hybridMultilevel"/>
    <w:tmpl w:val="D04C8106"/>
    <w:lvl w:ilvl="0" w:tplc="66D225A6">
      <w:start w:val="3"/>
      <w:numFmt w:val="upperRoman"/>
      <w:lvlText w:val="%1&gt;"/>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6D97003F"/>
    <w:multiLevelType w:val="hybridMultilevel"/>
    <w:tmpl w:val="3DC63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3"/>
  </w:num>
  <w:num w:numId="5">
    <w:abstractNumId w:val="9"/>
  </w:num>
  <w:num w:numId="6">
    <w:abstractNumId w:val="16"/>
  </w:num>
  <w:num w:numId="7">
    <w:abstractNumId w:val="1"/>
  </w:num>
  <w:num w:numId="8">
    <w:abstractNumId w:val="3"/>
  </w:num>
  <w:num w:numId="9">
    <w:abstractNumId w:val="17"/>
  </w:num>
  <w:num w:numId="10">
    <w:abstractNumId w:val="15"/>
  </w:num>
  <w:num w:numId="11">
    <w:abstractNumId w:val="2"/>
  </w:num>
  <w:num w:numId="12">
    <w:abstractNumId w:val="4"/>
  </w:num>
  <w:num w:numId="13">
    <w:abstractNumId w:val="8"/>
  </w:num>
  <w:num w:numId="14">
    <w:abstractNumId w:val="10"/>
  </w:num>
  <w:num w:numId="15">
    <w:abstractNumId w:val="14"/>
  </w:num>
  <w:num w:numId="16">
    <w:abstractNumId w:val="11"/>
  </w:num>
  <w:num w:numId="17">
    <w:abstractNumId w:val="7"/>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2NDU2NzEzM7Mwt7BU0lEKTi0uzszPAykwrAUAlYePsCwAAAA="/>
  </w:docVars>
  <w:rsids>
    <w:rsidRoot w:val="00577A39"/>
    <w:rsid w:val="00017DF2"/>
    <w:rsid w:val="00061ABB"/>
    <w:rsid w:val="0006508F"/>
    <w:rsid w:val="00065F0D"/>
    <w:rsid w:val="00092EC1"/>
    <w:rsid w:val="00095EEC"/>
    <w:rsid w:val="000A5824"/>
    <w:rsid w:val="000D560E"/>
    <w:rsid w:val="000D7690"/>
    <w:rsid w:val="000E2ECE"/>
    <w:rsid w:val="000F54E5"/>
    <w:rsid w:val="00110908"/>
    <w:rsid w:val="001265DB"/>
    <w:rsid w:val="001345FD"/>
    <w:rsid w:val="001570E9"/>
    <w:rsid w:val="0018236E"/>
    <w:rsid w:val="001B78F9"/>
    <w:rsid w:val="001F6704"/>
    <w:rsid w:val="00203A4B"/>
    <w:rsid w:val="002049C4"/>
    <w:rsid w:val="0023222B"/>
    <w:rsid w:val="00255D84"/>
    <w:rsid w:val="0026143E"/>
    <w:rsid w:val="00283E9D"/>
    <w:rsid w:val="0029014D"/>
    <w:rsid w:val="00295764"/>
    <w:rsid w:val="002958AA"/>
    <w:rsid w:val="002A0EFD"/>
    <w:rsid w:val="002A3205"/>
    <w:rsid w:val="002A38E8"/>
    <w:rsid w:val="002B15E6"/>
    <w:rsid w:val="002B3AA1"/>
    <w:rsid w:val="002C4963"/>
    <w:rsid w:val="002E4B37"/>
    <w:rsid w:val="002E7F26"/>
    <w:rsid w:val="002F00E4"/>
    <w:rsid w:val="002F7A26"/>
    <w:rsid w:val="003127A4"/>
    <w:rsid w:val="003138C3"/>
    <w:rsid w:val="003141F0"/>
    <w:rsid w:val="00314475"/>
    <w:rsid w:val="003211A6"/>
    <w:rsid w:val="0035044D"/>
    <w:rsid w:val="00374800"/>
    <w:rsid w:val="0038063C"/>
    <w:rsid w:val="003B41E6"/>
    <w:rsid w:val="003D4859"/>
    <w:rsid w:val="003D606B"/>
    <w:rsid w:val="003E7588"/>
    <w:rsid w:val="003F15D8"/>
    <w:rsid w:val="00404C69"/>
    <w:rsid w:val="00423A96"/>
    <w:rsid w:val="004656CE"/>
    <w:rsid w:val="00495A73"/>
    <w:rsid w:val="004A18C2"/>
    <w:rsid w:val="004B4AFA"/>
    <w:rsid w:val="004C2450"/>
    <w:rsid w:val="004D7001"/>
    <w:rsid w:val="004D7333"/>
    <w:rsid w:val="005728F5"/>
    <w:rsid w:val="00575288"/>
    <w:rsid w:val="00577A39"/>
    <w:rsid w:val="00594593"/>
    <w:rsid w:val="005A08E4"/>
    <w:rsid w:val="005A5168"/>
    <w:rsid w:val="005A6730"/>
    <w:rsid w:val="005B6B01"/>
    <w:rsid w:val="005F276A"/>
    <w:rsid w:val="00607BC6"/>
    <w:rsid w:val="0062316B"/>
    <w:rsid w:val="0066543C"/>
    <w:rsid w:val="006A4885"/>
    <w:rsid w:val="006B3746"/>
    <w:rsid w:val="006F548D"/>
    <w:rsid w:val="00705A30"/>
    <w:rsid w:val="0071639F"/>
    <w:rsid w:val="00721376"/>
    <w:rsid w:val="00732B2B"/>
    <w:rsid w:val="00770004"/>
    <w:rsid w:val="007834B7"/>
    <w:rsid w:val="0078353A"/>
    <w:rsid w:val="007936BE"/>
    <w:rsid w:val="007B716A"/>
    <w:rsid w:val="007F0F33"/>
    <w:rsid w:val="007F65EB"/>
    <w:rsid w:val="00806997"/>
    <w:rsid w:val="00826497"/>
    <w:rsid w:val="008279D6"/>
    <w:rsid w:val="00830970"/>
    <w:rsid w:val="00850626"/>
    <w:rsid w:val="008639B2"/>
    <w:rsid w:val="00872AB5"/>
    <w:rsid w:val="00873532"/>
    <w:rsid w:val="00873A39"/>
    <w:rsid w:val="008817DA"/>
    <w:rsid w:val="00882482"/>
    <w:rsid w:val="00896865"/>
    <w:rsid w:val="008A2BDD"/>
    <w:rsid w:val="008A2D5B"/>
    <w:rsid w:val="008A5AB8"/>
    <w:rsid w:val="008A7220"/>
    <w:rsid w:val="008C3393"/>
    <w:rsid w:val="00901F44"/>
    <w:rsid w:val="00952FCF"/>
    <w:rsid w:val="009549D5"/>
    <w:rsid w:val="00985A25"/>
    <w:rsid w:val="009B42FA"/>
    <w:rsid w:val="009B5E1C"/>
    <w:rsid w:val="009D17ED"/>
    <w:rsid w:val="009E30BE"/>
    <w:rsid w:val="00A10E39"/>
    <w:rsid w:val="00A11A44"/>
    <w:rsid w:val="00A130E5"/>
    <w:rsid w:val="00A20C36"/>
    <w:rsid w:val="00A27084"/>
    <w:rsid w:val="00A27F8E"/>
    <w:rsid w:val="00A55CA7"/>
    <w:rsid w:val="00A6141C"/>
    <w:rsid w:val="00A87B86"/>
    <w:rsid w:val="00A9639A"/>
    <w:rsid w:val="00AA2A3D"/>
    <w:rsid w:val="00AB3038"/>
    <w:rsid w:val="00AF595C"/>
    <w:rsid w:val="00B43F3D"/>
    <w:rsid w:val="00B63075"/>
    <w:rsid w:val="00B80C64"/>
    <w:rsid w:val="00B96303"/>
    <w:rsid w:val="00B97259"/>
    <w:rsid w:val="00BB0F52"/>
    <w:rsid w:val="00BB3918"/>
    <w:rsid w:val="00BB692E"/>
    <w:rsid w:val="00BE37EE"/>
    <w:rsid w:val="00C0295A"/>
    <w:rsid w:val="00C31CC4"/>
    <w:rsid w:val="00C33412"/>
    <w:rsid w:val="00C35443"/>
    <w:rsid w:val="00C57BD3"/>
    <w:rsid w:val="00C90AD5"/>
    <w:rsid w:val="00C95F48"/>
    <w:rsid w:val="00CD085A"/>
    <w:rsid w:val="00CD1851"/>
    <w:rsid w:val="00CD6C40"/>
    <w:rsid w:val="00CE3F06"/>
    <w:rsid w:val="00D00D37"/>
    <w:rsid w:val="00D20807"/>
    <w:rsid w:val="00D3312E"/>
    <w:rsid w:val="00D72101"/>
    <w:rsid w:val="00DA37B2"/>
    <w:rsid w:val="00DA3F0D"/>
    <w:rsid w:val="00DC3A4E"/>
    <w:rsid w:val="00DE1F9B"/>
    <w:rsid w:val="00DE3534"/>
    <w:rsid w:val="00DE4242"/>
    <w:rsid w:val="00DE4BC8"/>
    <w:rsid w:val="00E43139"/>
    <w:rsid w:val="00E8587B"/>
    <w:rsid w:val="00E9476C"/>
    <w:rsid w:val="00E94AE0"/>
    <w:rsid w:val="00E96A73"/>
    <w:rsid w:val="00EB0D0D"/>
    <w:rsid w:val="00ED5972"/>
    <w:rsid w:val="00F17C50"/>
    <w:rsid w:val="00F20E14"/>
    <w:rsid w:val="00F21780"/>
    <w:rsid w:val="00F32917"/>
    <w:rsid w:val="00F91607"/>
    <w:rsid w:val="00F92B75"/>
    <w:rsid w:val="00FA0C0A"/>
    <w:rsid w:val="00FA6179"/>
    <w:rsid w:val="00FB1785"/>
    <w:rsid w:val="00FD23E9"/>
    <w:rsid w:val="00FE2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3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A39"/>
    <w:pPr>
      <w:spacing w:after="0" w:line="240" w:lineRule="auto"/>
    </w:pPr>
    <w:rPr>
      <w:sz w:val="20"/>
      <w:szCs w:val="20"/>
    </w:rPr>
  </w:style>
  <w:style w:type="character" w:customStyle="1" w:styleId="FootnoteTextChar">
    <w:name w:val="Footnote Text Char"/>
    <w:basedOn w:val="DefaultParagraphFont"/>
    <w:link w:val="FootnoteText"/>
    <w:uiPriority w:val="99"/>
    <w:rsid w:val="00577A39"/>
    <w:rPr>
      <w:sz w:val="20"/>
      <w:szCs w:val="20"/>
    </w:rPr>
  </w:style>
  <w:style w:type="character" w:styleId="FootnoteReference">
    <w:name w:val="footnote reference"/>
    <w:basedOn w:val="DefaultParagraphFont"/>
    <w:uiPriority w:val="99"/>
    <w:unhideWhenUsed/>
    <w:rsid w:val="00577A39"/>
    <w:rPr>
      <w:vertAlign w:val="superscript"/>
    </w:rPr>
  </w:style>
  <w:style w:type="character" w:styleId="Hyperlink">
    <w:name w:val="Hyperlink"/>
    <w:basedOn w:val="DefaultParagraphFont"/>
    <w:uiPriority w:val="99"/>
    <w:unhideWhenUsed/>
    <w:rsid w:val="00577A39"/>
    <w:rPr>
      <w:color w:val="0563C1" w:themeColor="hyperlink"/>
      <w:u w:val="single"/>
    </w:rPr>
  </w:style>
  <w:style w:type="paragraph" w:styleId="Footer">
    <w:name w:val="footer"/>
    <w:basedOn w:val="Normal"/>
    <w:link w:val="FooterChar"/>
    <w:uiPriority w:val="99"/>
    <w:unhideWhenUsed/>
    <w:rsid w:val="0057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A39"/>
    <w:rPr>
      <w:sz w:val="22"/>
      <w:szCs w:val="22"/>
    </w:rPr>
  </w:style>
  <w:style w:type="paragraph" w:styleId="ListParagraph">
    <w:name w:val="List Paragraph"/>
    <w:basedOn w:val="Normal"/>
    <w:uiPriority w:val="34"/>
    <w:qFormat/>
    <w:rsid w:val="00577A39"/>
    <w:pPr>
      <w:spacing w:line="256" w:lineRule="auto"/>
      <w:ind w:left="720"/>
      <w:contextualSpacing/>
    </w:pPr>
  </w:style>
  <w:style w:type="character" w:styleId="CommentReference">
    <w:name w:val="annotation reference"/>
    <w:basedOn w:val="DefaultParagraphFont"/>
    <w:uiPriority w:val="99"/>
    <w:semiHidden/>
    <w:unhideWhenUsed/>
    <w:rsid w:val="00577A39"/>
    <w:rPr>
      <w:sz w:val="16"/>
      <w:szCs w:val="16"/>
    </w:rPr>
  </w:style>
  <w:style w:type="paragraph" w:styleId="CommentText">
    <w:name w:val="annotation text"/>
    <w:basedOn w:val="Normal"/>
    <w:link w:val="CommentTextChar"/>
    <w:uiPriority w:val="99"/>
    <w:semiHidden/>
    <w:unhideWhenUsed/>
    <w:rsid w:val="00577A39"/>
    <w:pPr>
      <w:spacing w:line="240" w:lineRule="auto"/>
    </w:pPr>
    <w:rPr>
      <w:sz w:val="20"/>
      <w:szCs w:val="20"/>
    </w:rPr>
  </w:style>
  <w:style w:type="character" w:customStyle="1" w:styleId="CommentTextChar">
    <w:name w:val="Comment Text Char"/>
    <w:basedOn w:val="DefaultParagraphFont"/>
    <w:link w:val="CommentText"/>
    <w:uiPriority w:val="99"/>
    <w:semiHidden/>
    <w:rsid w:val="00577A39"/>
    <w:rPr>
      <w:sz w:val="20"/>
      <w:szCs w:val="20"/>
    </w:rPr>
  </w:style>
  <w:style w:type="paragraph" w:styleId="NormalWeb">
    <w:name w:val="Normal (Web)"/>
    <w:basedOn w:val="Normal"/>
    <w:uiPriority w:val="99"/>
    <w:unhideWhenUsed/>
    <w:rsid w:val="00577A3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77A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A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03A4B"/>
    <w:rPr>
      <w:b/>
      <w:bCs/>
    </w:rPr>
  </w:style>
  <w:style w:type="character" w:customStyle="1" w:styleId="CommentSubjectChar">
    <w:name w:val="Comment Subject Char"/>
    <w:basedOn w:val="CommentTextChar"/>
    <w:link w:val="CommentSubject"/>
    <w:uiPriority w:val="99"/>
    <w:semiHidden/>
    <w:rsid w:val="00203A4B"/>
    <w:rPr>
      <w:b/>
      <w:bCs/>
      <w:sz w:val="20"/>
      <w:szCs w:val="20"/>
    </w:rPr>
  </w:style>
  <w:style w:type="paragraph" w:styleId="Header">
    <w:name w:val="header"/>
    <w:basedOn w:val="Normal"/>
    <w:link w:val="HeaderChar"/>
    <w:uiPriority w:val="99"/>
    <w:unhideWhenUsed/>
    <w:rsid w:val="00C31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CC4"/>
    <w:rPr>
      <w:sz w:val="22"/>
      <w:szCs w:val="22"/>
    </w:rPr>
  </w:style>
  <w:style w:type="table" w:styleId="TableGrid">
    <w:name w:val="Table Grid"/>
    <w:basedOn w:val="TableNormal"/>
    <w:uiPriority w:val="39"/>
    <w:rsid w:val="005A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1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Dadoo</dc:creator>
  <cp:keywords/>
  <dc:description/>
  <cp:lastModifiedBy>Moorche 30 DVDs</cp:lastModifiedBy>
  <cp:revision>3</cp:revision>
  <dcterms:created xsi:type="dcterms:W3CDTF">2018-11-28T12:56:00Z</dcterms:created>
  <dcterms:modified xsi:type="dcterms:W3CDTF">2020-12-13T06:44:00Z</dcterms:modified>
</cp:coreProperties>
</file>